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D58" w14:textId="77777777" w:rsidR="002361E5" w:rsidRDefault="002361E5" w:rsidP="002361E5">
      <w:pPr>
        <w:pStyle w:val="Header"/>
      </w:pPr>
      <w:bookmarkStart w:id="0" w:name="_GoBack"/>
      <w:bookmarkEnd w:id="0"/>
      <w:r>
        <w:rPr>
          <w:noProof/>
          <w:lang w:eastAsia="en-GB"/>
        </w:rPr>
        <w:drawing>
          <wp:anchor distT="0" distB="0" distL="114300" distR="114300" simplePos="0" relativeHeight="251661312" behindDoc="0" locked="0" layoutInCell="1" allowOverlap="1" wp14:anchorId="538FEC69" wp14:editId="536D4F36">
            <wp:simplePos x="0" y="0"/>
            <wp:positionH relativeFrom="column">
              <wp:posOffset>-504190</wp:posOffset>
            </wp:positionH>
            <wp:positionV relativeFrom="paragraph">
              <wp:posOffset>334010</wp:posOffset>
            </wp:positionV>
            <wp:extent cx="2199600" cy="58680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 SocietyForEndocrinology.png"/>
                    <pic:cNvPicPr/>
                  </pic:nvPicPr>
                  <pic:blipFill>
                    <a:blip r:embed="rId8">
                      <a:extLst>
                        <a:ext uri="{28A0092B-C50C-407E-A947-70E740481C1C}">
                          <a14:useLocalDpi xmlns:a14="http://schemas.microsoft.com/office/drawing/2010/main" val="0"/>
                        </a:ext>
                      </a:extLst>
                    </a:blip>
                    <a:stretch>
                      <a:fillRect/>
                    </a:stretch>
                  </pic:blipFill>
                  <pic:spPr>
                    <a:xfrm>
                      <a:off x="0" y="0"/>
                      <a:ext cx="2199600"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2384A701" wp14:editId="3307A9C8">
                <wp:simplePos x="0" y="0"/>
                <wp:positionH relativeFrom="column">
                  <wp:posOffset>-504190</wp:posOffset>
                </wp:positionH>
                <wp:positionV relativeFrom="paragraph">
                  <wp:posOffset>1340485</wp:posOffset>
                </wp:positionV>
                <wp:extent cx="6840000" cy="0"/>
                <wp:effectExtent l="0" t="0" r="18415" b="19050"/>
                <wp:wrapNone/>
                <wp:docPr id="9" name="Straight Connector 9"/>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6F3F6F"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05.55pt" to="498.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48091E05" wp14:editId="20D180C8">
                <wp:simplePos x="0" y="0"/>
                <wp:positionH relativeFrom="column">
                  <wp:posOffset>-504190</wp:posOffset>
                </wp:positionH>
                <wp:positionV relativeFrom="paragraph">
                  <wp:posOffset>-62230</wp:posOffset>
                </wp:positionV>
                <wp:extent cx="6840000"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CF7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4.9pt" to="498.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" strokecolor="#4579b8 [3044]"/>
            </w:pict>
          </mc:Fallback>
        </mc:AlternateContent>
      </w:r>
    </w:p>
    <w:p w14:paraId="7CF0F9DA" w14:textId="77777777" w:rsidR="002361E5" w:rsidRPr="00D35EA1" w:rsidRDefault="002361E5" w:rsidP="002361E5">
      <w:pPr>
        <w:spacing w:after="0"/>
      </w:pPr>
    </w:p>
    <w:p w14:paraId="43AE2BF0" w14:textId="77777777" w:rsidR="002361E5" w:rsidRPr="00AC42A0" w:rsidRDefault="002361E5" w:rsidP="002361E5">
      <w:pPr>
        <w:jc w:val="right"/>
        <w:rPr>
          <w:rFonts w:ascii="Gotham Black" w:hAnsi="Gotham Black"/>
          <w:color w:val="A6A6A6" w:themeColor="background1" w:themeShade="A6"/>
          <w:sz w:val="40"/>
        </w:rPr>
      </w:pPr>
    </w:p>
    <w:p w14:paraId="0BD866E4" w14:textId="77777777" w:rsidR="002361E5" w:rsidRPr="00D35EA1" w:rsidRDefault="002361E5" w:rsidP="002361E5">
      <w:pPr>
        <w:spacing w:after="0"/>
      </w:pPr>
    </w:p>
    <w:p w14:paraId="07EFDDFF" w14:textId="77777777" w:rsidR="002361E5" w:rsidRPr="00D35EA1" w:rsidRDefault="002361E5" w:rsidP="002361E5">
      <w:pPr>
        <w:spacing w:after="0"/>
      </w:pPr>
    </w:p>
    <w:p w14:paraId="182436B6" w14:textId="77777777" w:rsidR="00132B5C" w:rsidRPr="00D35EA1" w:rsidRDefault="00132B5C" w:rsidP="00132B5C">
      <w:pPr>
        <w:spacing w:after="0"/>
      </w:pPr>
    </w:p>
    <w:p w14:paraId="4053AB00" w14:textId="77777777" w:rsidR="00E31EC2" w:rsidRPr="00D35EA1" w:rsidRDefault="0080732B" w:rsidP="0019586F">
      <w:r w:rsidRPr="00D35EA1">
        <w:rPr>
          <w:noProof/>
          <w:lang w:eastAsia="en-GB"/>
        </w:rPr>
        <mc:AlternateContent>
          <mc:Choice Requires="wps">
            <w:drawing>
              <wp:inline distT="0" distB="0" distL="0" distR="0" wp14:anchorId="20463FC4" wp14:editId="42090424">
                <wp:extent cx="6330702" cy="781684"/>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702" cy="781684"/>
                        </a:xfrm>
                        <a:prstGeom prst="rect">
                          <a:avLst/>
                        </a:prstGeom>
                        <a:solidFill>
                          <a:srgbClr val="FFFFFF"/>
                        </a:solidFill>
                        <a:ln w="9525">
                          <a:noFill/>
                          <a:miter lim="800000"/>
                          <a:headEnd/>
                          <a:tailEnd/>
                        </a:ln>
                      </wps:spPr>
                      <wps:txbx>
                        <w:txbxContent>
                          <w:p w14:paraId="145748DF" w14:textId="77777777" w:rsidR="00CF6B48" w:rsidRPr="005F44AD" w:rsidRDefault="00CF6B48" w:rsidP="005F44AD">
                            <w:pPr>
                              <w:pStyle w:val="Title"/>
                            </w:pPr>
                            <w:bookmarkStart w:id="1" w:name="_Toc163136963"/>
                            <w:r>
                              <w:t>The Society for Endocrinology Registries – Data Access Policy (DAP)</w:t>
                            </w:r>
                            <w:bookmarkEnd w:id="1"/>
                          </w:p>
                          <w:p w14:paraId="73933DA5" w14:textId="77777777" w:rsidR="00CF6B48" w:rsidRDefault="00CF6B48" w:rsidP="00132B5C">
                            <w:pPr>
                              <w:ind w:left="-142"/>
                            </w:pPr>
                          </w:p>
                        </w:txbxContent>
                      </wps:txbx>
                      <wps:bodyPr rot="0" vert="horz" wrap="square" lIns="91440" tIns="45720" rIns="91440" bIns="45720" anchor="t" anchorCtr="0" upright="1">
                        <a:noAutofit/>
                      </wps:bodyPr>
                    </wps:wsp>
                  </a:graphicData>
                </a:graphic>
              </wp:inline>
            </w:drawing>
          </mc:Choice>
          <mc:Fallback>
            <w:pict>
              <v:shapetype w14:anchorId="20463FC4" id="_x0000_t202" coordsize="21600,21600" o:spt="202" path="m,l,21600r21600,l21600,xe">
                <v:stroke joinstyle="miter"/>
                <v:path gradientshapeok="t" o:connecttype="rect"/>
              </v:shapetype>
              <v:shape id="Text Box 2" o:spid="_x0000_s1026" type="#_x0000_t202" style="width:498.5pt;height: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" stroked="f">
                <v:textbox>
                  <w:txbxContent>
                    <w:p w14:paraId="145748DF" w14:textId="77777777" w:rsidR="00CF6B48" w:rsidRPr="005F44AD" w:rsidRDefault="00CF6B48" w:rsidP="005F44AD">
                      <w:pPr>
                        <w:pStyle w:val="Title"/>
                      </w:pPr>
                      <w:bookmarkStart w:id="1" w:name="_Toc163136963"/>
                      <w:r>
                        <w:t>The Society for Endocrinology Registries – Data Access Policy (DAP)</w:t>
                      </w:r>
                      <w:bookmarkEnd w:id="1"/>
                    </w:p>
                    <w:p w14:paraId="73933DA5" w14:textId="77777777" w:rsidR="00CF6B48" w:rsidRDefault="00CF6B48" w:rsidP="00132B5C">
                      <w:pPr>
                        <w:ind w:left="-142"/>
                      </w:pPr>
                    </w:p>
                  </w:txbxContent>
                </v:textbox>
                <w10:anchorlock/>
              </v:shape>
            </w:pict>
          </mc:Fallback>
        </mc:AlternateContent>
      </w:r>
      <w:r w:rsidRPr="00D35EA1">
        <w:rPr>
          <w:noProof/>
          <w:lang w:eastAsia="en-GB"/>
        </w:rPr>
        <mc:AlternateContent>
          <mc:Choice Requires="wps">
            <w:drawing>
              <wp:inline distT="0" distB="0" distL="0" distR="0" wp14:anchorId="6EF0ACEC" wp14:editId="2226BD64">
                <wp:extent cx="6092190" cy="680085"/>
                <wp:effectExtent l="0" t="0" r="3810" b="571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80085"/>
                        </a:xfrm>
                        <a:prstGeom prst="rect">
                          <a:avLst/>
                        </a:prstGeom>
                        <a:solidFill>
                          <a:srgbClr val="FFFFFF"/>
                        </a:solidFill>
                        <a:ln w="9525">
                          <a:noFill/>
                          <a:miter lim="800000"/>
                          <a:headEnd/>
                          <a:tailEnd/>
                        </a:ln>
                      </wps:spPr>
                      <wps:txbx>
                        <w:txbxContent>
                          <w:p w14:paraId="034F5EED" w14:textId="740EC1F7" w:rsidR="00CF6B48" w:rsidRPr="00132B5C" w:rsidRDefault="00CF6B48" w:rsidP="005F44AD">
                            <w:pPr>
                              <w:spacing w:after="0"/>
                              <w:ind w:left="-142"/>
                              <w:rPr>
                                <w:sz w:val="22"/>
                              </w:rPr>
                            </w:pPr>
                            <w:r>
                              <w:rPr>
                                <w:sz w:val="22"/>
                              </w:rPr>
                              <w:t>Jessica Davis</w:t>
                            </w:r>
                            <w:r w:rsidRPr="00132B5C">
                              <w:rPr>
                                <w:sz w:val="22"/>
                              </w:rPr>
                              <w:t xml:space="preserve">, </w:t>
                            </w:r>
                            <w:r w:rsidRPr="004F25A1">
                              <w:rPr>
                                <w:i/>
                                <w:sz w:val="22"/>
                              </w:rPr>
                              <w:t>Clinical Programme Manager</w:t>
                            </w:r>
                          </w:p>
                          <w:p w14:paraId="16F94C31" w14:textId="77777777" w:rsidR="00CF6B48" w:rsidRPr="00132B5C" w:rsidRDefault="00CF6B48" w:rsidP="005F44AD">
                            <w:pPr>
                              <w:ind w:left="-142"/>
                              <w:rPr>
                                <w:sz w:val="22"/>
                              </w:rPr>
                            </w:pPr>
                            <w:r>
                              <w:rPr>
                                <w:sz w:val="22"/>
                              </w:rPr>
                              <w:t>5 April 2024</w:t>
                            </w:r>
                          </w:p>
                          <w:p w14:paraId="74ECC014" w14:textId="77777777" w:rsidR="00CF6B48" w:rsidRPr="00132B5C" w:rsidRDefault="00CF6B48" w:rsidP="00132B5C">
                            <w:pPr>
                              <w:ind w:left="-142"/>
                              <w:rPr>
                                <w:sz w:val="22"/>
                              </w:rPr>
                            </w:pPr>
                          </w:p>
                          <w:p w14:paraId="3991ACA9" w14:textId="77777777" w:rsidR="00CF6B48" w:rsidRDefault="00CF6B48" w:rsidP="0019586F"/>
                        </w:txbxContent>
                      </wps:txbx>
                      <wps:bodyPr rot="0" vert="horz" wrap="square" lIns="91440" tIns="45720" rIns="91440" bIns="45720" anchor="t" anchorCtr="0" upright="1">
                        <a:noAutofit/>
                      </wps:bodyPr>
                    </wps:wsp>
                  </a:graphicData>
                </a:graphic>
              </wp:inline>
            </w:drawing>
          </mc:Choice>
          <mc:Fallback>
            <w:pict>
              <v:shape w14:anchorId="6EF0ACEC" id="Text Box 8" o:spid="_x0000_s1027" type="#_x0000_t202" style="width:479.7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" stroked="f">
                <v:textbox>
                  <w:txbxContent>
                    <w:p w14:paraId="034F5EED" w14:textId="740EC1F7" w:rsidR="00CF6B48" w:rsidRPr="00132B5C" w:rsidRDefault="00CF6B48" w:rsidP="005F44AD">
                      <w:pPr>
                        <w:spacing w:after="0"/>
                        <w:ind w:left="-142"/>
                        <w:rPr>
                          <w:sz w:val="22"/>
                        </w:rPr>
                      </w:pPr>
                      <w:r>
                        <w:rPr>
                          <w:sz w:val="22"/>
                        </w:rPr>
                        <w:t>Jessica Davis</w:t>
                      </w:r>
                      <w:r w:rsidRPr="00132B5C">
                        <w:rPr>
                          <w:sz w:val="22"/>
                        </w:rPr>
                        <w:t xml:space="preserve">, </w:t>
                      </w:r>
                      <w:r w:rsidRPr="004F25A1">
                        <w:rPr>
                          <w:i/>
                          <w:sz w:val="22"/>
                        </w:rPr>
                        <w:t>Clinical Programme Manager</w:t>
                      </w:r>
                    </w:p>
                    <w:p w14:paraId="16F94C31" w14:textId="77777777" w:rsidR="00CF6B48" w:rsidRPr="00132B5C" w:rsidRDefault="00CF6B48" w:rsidP="005F44AD">
                      <w:pPr>
                        <w:ind w:left="-142"/>
                        <w:rPr>
                          <w:sz w:val="22"/>
                        </w:rPr>
                      </w:pPr>
                      <w:r>
                        <w:rPr>
                          <w:sz w:val="22"/>
                        </w:rPr>
                        <w:t>5 April 2024</w:t>
                      </w:r>
                    </w:p>
                    <w:p w14:paraId="74ECC014" w14:textId="77777777" w:rsidR="00CF6B48" w:rsidRPr="00132B5C" w:rsidRDefault="00CF6B48" w:rsidP="00132B5C">
                      <w:pPr>
                        <w:ind w:left="-142"/>
                        <w:rPr>
                          <w:sz w:val="22"/>
                        </w:rPr>
                      </w:pPr>
                    </w:p>
                    <w:p w14:paraId="3991ACA9" w14:textId="77777777" w:rsidR="00CF6B48" w:rsidRDefault="00CF6B48" w:rsidP="0019586F"/>
                  </w:txbxContent>
                </v:textbox>
                <w10:anchorlock/>
              </v:shape>
            </w:pict>
          </mc:Fallback>
        </mc:AlternateContent>
      </w:r>
    </w:p>
    <w:sdt>
      <w:sdtPr>
        <w:rPr>
          <w:rFonts w:asciiTheme="minorHAnsi" w:eastAsia="MS Mincho" w:hAnsiTheme="minorHAnsi" w:cstheme="minorHAnsi"/>
          <w:color w:val="auto"/>
          <w:sz w:val="24"/>
          <w:szCs w:val="24"/>
          <w:lang w:val="en-GB" w:eastAsia="ja-JP"/>
        </w:rPr>
        <w:id w:val="1625575535"/>
        <w:docPartObj>
          <w:docPartGallery w:val="Table of Contents"/>
          <w:docPartUnique/>
        </w:docPartObj>
      </w:sdtPr>
      <w:sdtEndPr>
        <w:rPr>
          <w:b/>
          <w:bCs/>
          <w:noProof/>
        </w:rPr>
      </w:sdtEndPr>
      <w:sdtContent>
        <w:p w14:paraId="64D3F265" w14:textId="77777777" w:rsidR="004F25A1" w:rsidRDefault="004F25A1">
          <w:pPr>
            <w:pStyle w:val="TOCHeading"/>
          </w:pPr>
          <w:r>
            <w:t>Contents</w:t>
          </w:r>
        </w:p>
        <w:p w14:paraId="3206ECE7" w14:textId="77777777" w:rsidR="002361E5" w:rsidRDefault="004F25A1">
          <w:pPr>
            <w:pStyle w:val="TOC1"/>
            <w:tabs>
              <w:tab w:val="right" w:leader="dot" w:pos="9968"/>
            </w:tabs>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r:id="rId9" w:anchor="_Toc163136963" w:history="1">
            <w:r w:rsidR="002361E5" w:rsidRPr="00517260">
              <w:rPr>
                <w:rStyle w:val="Hyperlink"/>
                <w:noProof/>
              </w:rPr>
              <w:t>The Society for Endocrinology Registries – Data Access Policy (DAP)</w:t>
            </w:r>
            <w:r w:rsidR="002361E5">
              <w:rPr>
                <w:noProof/>
                <w:webHidden/>
              </w:rPr>
              <w:tab/>
            </w:r>
            <w:r w:rsidR="002361E5">
              <w:rPr>
                <w:noProof/>
                <w:webHidden/>
              </w:rPr>
              <w:fldChar w:fldCharType="begin"/>
            </w:r>
            <w:r w:rsidR="002361E5">
              <w:rPr>
                <w:noProof/>
                <w:webHidden/>
              </w:rPr>
              <w:instrText xml:space="preserve"> PAGEREF _Toc163136963 \h </w:instrText>
            </w:r>
            <w:r w:rsidR="002361E5">
              <w:rPr>
                <w:noProof/>
                <w:webHidden/>
              </w:rPr>
            </w:r>
            <w:r w:rsidR="002361E5">
              <w:rPr>
                <w:noProof/>
                <w:webHidden/>
              </w:rPr>
              <w:fldChar w:fldCharType="separate"/>
            </w:r>
            <w:r w:rsidR="002361E5">
              <w:rPr>
                <w:noProof/>
                <w:webHidden/>
              </w:rPr>
              <w:t>1</w:t>
            </w:r>
            <w:r w:rsidR="002361E5">
              <w:rPr>
                <w:noProof/>
                <w:webHidden/>
              </w:rPr>
              <w:fldChar w:fldCharType="end"/>
            </w:r>
          </w:hyperlink>
        </w:p>
        <w:p w14:paraId="4EBB1616" w14:textId="77777777" w:rsidR="002361E5" w:rsidRDefault="00C40B37">
          <w:pPr>
            <w:pStyle w:val="TOC1"/>
            <w:tabs>
              <w:tab w:val="right" w:leader="dot" w:pos="9968"/>
            </w:tabs>
            <w:rPr>
              <w:rFonts w:eastAsiaTheme="minorEastAsia" w:cstheme="minorBidi"/>
              <w:noProof/>
              <w:sz w:val="22"/>
              <w:szCs w:val="22"/>
              <w:lang w:eastAsia="en-GB"/>
            </w:rPr>
          </w:pPr>
          <w:hyperlink w:anchor="_Toc163136964" w:history="1">
            <w:r w:rsidR="002361E5" w:rsidRPr="00517260">
              <w:rPr>
                <w:rStyle w:val="Hyperlink"/>
                <w:noProof/>
              </w:rPr>
              <w:t>The Society for Endocrinology Registries (‘SfE Registries’)</w:t>
            </w:r>
            <w:r w:rsidR="002361E5">
              <w:rPr>
                <w:noProof/>
                <w:webHidden/>
              </w:rPr>
              <w:tab/>
            </w:r>
            <w:r w:rsidR="002361E5">
              <w:rPr>
                <w:noProof/>
                <w:webHidden/>
              </w:rPr>
              <w:fldChar w:fldCharType="begin"/>
            </w:r>
            <w:r w:rsidR="002361E5">
              <w:rPr>
                <w:noProof/>
                <w:webHidden/>
              </w:rPr>
              <w:instrText xml:space="preserve"> PAGEREF _Toc163136964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7A4B1E5C"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65" w:history="1">
            <w:r w:rsidR="002361E5" w:rsidRPr="00517260">
              <w:rPr>
                <w:rStyle w:val="Hyperlink"/>
                <w:noProof/>
              </w:rPr>
              <w:t>1.</w:t>
            </w:r>
            <w:r w:rsidR="002361E5">
              <w:rPr>
                <w:rFonts w:eastAsiaTheme="minorEastAsia" w:cstheme="minorBidi"/>
                <w:noProof/>
                <w:sz w:val="22"/>
                <w:szCs w:val="22"/>
                <w:lang w:eastAsia="en-GB"/>
              </w:rPr>
              <w:tab/>
            </w:r>
            <w:r w:rsidR="002361E5" w:rsidRPr="00517260">
              <w:rPr>
                <w:rStyle w:val="Hyperlink"/>
                <w:noProof/>
              </w:rPr>
              <w:t>Governance &amp; Committees</w:t>
            </w:r>
            <w:r w:rsidR="002361E5">
              <w:rPr>
                <w:noProof/>
                <w:webHidden/>
              </w:rPr>
              <w:tab/>
            </w:r>
            <w:r w:rsidR="002361E5">
              <w:rPr>
                <w:noProof/>
                <w:webHidden/>
              </w:rPr>
              <w:fldChar w:fldCharType="begin"/>
            </w:r>
            <w:r w:rsidR="002361E5">
              <w:rPr>
                <w:noProof/>
                <w:webHidden/>
              </w:rPr>
              <w:instrText xml:space="preserve"> PAGEREF _Toc163136965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2ED89D7E" w14:textId="77777777" w:rsidR="002361E5" w:rsidRDefault="00C40B37">
          <w:pPr>
            <w:pStyle w:val="TOC2"/>
            <w:tabs>
              <w:tab w:val="right" w:leader="dot" w:pos="9968"/>
            </w:tabs>
            <w:rPr>
              <w:rFonts w:eastAsiaTheme="minorEastAsia" w:cstheme="minorBidi"/>
              <w:noProof/>
              <w:sz w:val="22"/>
              <w:szCs w:val="22"/>
              <w:lang w:eastAsia="en-GB"/>
            </w:rPr>
          </w:pPr>
          <w:hyperlink w:anchor="_Toc163136966" w:history="1">
            <w:r w:rsidR="002361E5" w:rsidRPr="00517260">
              <w:rPr>
                <w:rStyle w:val="Hyperlink"/>
                <w:noProof/>
              </w:rPr>
              <w:t>The Clinical Committee</w:t>
            </w:r>
            <w:r w:rsidR="002361E5">
              <w:rPr>
                <w:noProof/>
                <w:webHidden/>
              </w:rPr>
              <w:tab/>
            </w:r>
            <w:r w:rsidR="002361E5">
              <w:rPr>
                <w:noProof/>
                <w:webHidden/>
              </w:rPr>
              <w:fldChar w:fldCharType="begin"/>
            </w:r>
            <w:r w:rsidR="002361E5">
              <w:rPr>
                <w:noProof/>
                <w:webHidden/>
              </w:rPr>
              <w:instrText xml:space="preserve"> PAGEREF _Toc163136966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471EBE2B" w14:textId="04A1CB8A" w:rsidR="002361E5" w:rsidRDefault="00C40B37">
          <w:pPr>
            <w:pStyle w:val="TOC2"/>
            <w:tabs>
              <w:tab w:val="right" w:leader="dot" w:pos="9968"/>
            </w:tabs>
            <w:rPr>
              <w:rFonts w:eastAsiaTheme="minorEastAsia" w:cstheme="minorBidi"/>
              <w:noProof/>
              <w:sz w:val="22"/>
              <w:szCs w:val="22"/>
              <w:lang w:eastAsia="en-GB"/>
            </w:rPr>
          </w:pPr>
          <w:hyperlink w:anchor="_Toc163136967" w:history="1">
            <w:r w:rsidR="002361E5" w:rsidRPr="00517260">
              <w:rPr>
                <w:rStyle w:val="Hyperlink"/>
                <w:noProof/>
              </w:rPr>
              <w:t xml:space="preserve">Registry Steering Committee </w:t>
            </w:r>
            <w:r w:rsidR="002361E5">
              <w:rPr>
                <w:noProof/>
                <w:webHidden/>
              </w:rPr>
              <w:tab/>
            </w:r>
            <w:r w:rsidR="002361E5">
              <w:rPr>
                <w:noProof/>
                <w:webHidden/>
              </w:rPr>
              <w:fldChar w:fldCharType="begin"/>
            </w:r>
            <w:r w:rsidR="002361E5">
              <w:rPr>
                <w:noProof/>
                <w:webHidden/>
              </w:rPr>
              <w:instrText xml:space="preserve"> PAGEREF _Toc163136967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017257D5" w14:textId="4E0A155E" w:rsidR="002361E5" w:rsidRDefault="00C40B37">
          <w:pPr>
            <w:pStyle w:val="TOC2"/>
            <w:tabs>
              <w:tab w:val="right" w:leader="dot" w:pos="9968"/>
            </w:tabs>
            <w:rPr>
              <w:rFonts w:eastAsiaTheme="minorEastAsia" w:cstheme="minorBidi"/>
              <w:noProof/>
              <w:sz w:val="22"/>
              <w:szCs w:val="22"/>
              <w:lang w:eastAsia="en-GB"/>
            </w:rPr>
          </w:pPr>
          <w:hyperlink w:anchor="_Toc163136968" w:history="1">
            <w:r w:rsidR="002361E5" w:rsidRPr="00517260">
              <w:rPr>
                <w:rStyle w:val="Hyperlink"/>
                <w:noProof/>
              </w:rPr>
              <w:t>Data Access Committee</w:t>
            </w:r>
            <w:r w:rsidR="002361E5">
              <w:rPr>
                <w:noProof/>
                <w:webHidden/>
              </w:rPr>
              <w:tab/>
            </w:r>
            <w:r w:rsidR="002361E5">
              <w:rPr>
                <w:noProof/>
                <w:webHidden/>
              </w:rPr>
              <w:fldChar w:fldCharType="begin"/>
            </w:r>
            <w:r w:rsidR="002361E5">
              <w:rPr>
                <w:noProof/>
                <w:webHidden/>
              </w:rPr>
              <w:instrText xml:space="preserve"> PAGEREF _Toc163136968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1AA0428D" w14:textId="77777777" w:rsidR="002361E5" w:rsidRDefault="00C40B37">
          <w:pPr>
            <w:pStyle w:val="TOC2"/>
            <w:tabs>
              <w:tab w:val="right" w:leader="dot" w:pos="9968"/>
            </w:tabs>
            <w:rPr>
              <w:rFonts w:eastAsiaTheme="minorEastAsia" w:cstheme="minorBidi"/>
              <w:noProof/>
              <w:sz w:val="22"/>
              <w:szCs w:val="22"/>
              <w:lang w:eastAsia="en-GB"/>
            </w:rPr>
          </w:pPr>
          <w:hyperlink w:anchor="_Toc163136969" w:history="1">
            <w:r w:rsidR="002361E5" w:rsidRPr="00517260">
              <w:rPr>
                <w:rStyle w:val="Hyperlink"/>
                <w:noProof/>
              </w:rPr>
              <w:t>Project Management</w:t>
            </w:r>
            <w:r w:rsidR="002361E5">
              <w:rPr>
                <w:noProof/>
                <w:webHidden/>
              </w:rPr>
              <w:tab/>
            </w:r>
            <w:r w:rsidR="002361E5">
              <w:rPr>
                <w:noProof/>
                <w:webHidden/>
              </w:rPr>
              <w:fldChar w:fldCharType="begin"/>
            </w:r>
            <w:r w:rsidR="002361E5">
              <w:rPr>
                <w:noProof/>
                <w:webHidden/>
              </w:rPr>
              <w:instrText xml:space="preserve"> PAGEREF _Toc163136969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1125C93C"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0" w:history="1">
            <w:r w:rsidR="002361E5" w:rsidRPr="00517260">
              <w:rPr>
                <w:rStyle w:val="Hyperlink"/>
                <w:noProof/>
              </w:rPr>
              <w:t>2.</w:t>
            </w:r>
            <w:r w:rsidR="002361E5">
              <w:rPr>
                <w:rFonts w:eastAsiaTheme="minorEastAsia" w:cstheme="minorBidi"/>
                <w:noProof/>
                <w:sz w:val="22"/>
                <w:szCs w:val="22"/>
                <w:lang w:eastAsia="en-GB"/>
              </w:rPr>
              <w:tab/>
            </w:r>
            <w:r w:rsidR="002361E5" w:rsidRPr="00517260">
              <w:rPr>
                <w:rStyle w:val="Hyperlink"/>
                <w:noProof/>
              </w:rPr>
              <w:t>The Utility of the Registry</w:t>
            </w:r>
            <w:r w:rsidR="002361E5">
              <w:rPr>
                <w:noProof/>
                <w:webHidden/>
              </w:rPr>
              <w:tab/>
            </w:r>
            <w:r w:rsidR="002361E5">
              <w:rPr>
                <w:noProof/>
                <w:webHidden/>
              </w:rPr>
              <w:fldChar w:fldCharType="begin"/>
            </w:r>
            <w:r w:rsidR="002361E5">
              <w:rPr>
                <w:noProof/>
                <w:webHidden/>
              </w:rPr>
              <w:instrText xml:space="preserve"> PAGEREF _Toc163136970 \h </w:instrText>
            </w:r>
            <w:r w:rsidR="002361E5">
              <w:rPr>
                <w:noProof/>
                <w:webHidden/>
              </w:rPr>
            </w:r>
            <w:r w:rsidR="002361E5">
              <w:rPr>
                <w:noProof/>
                <w:webHidden/>
              </w:rPr>
              <w:fldChar w:fldCharType="separate"/>
            </w:r>
            <w:r w:rsidR="002361E5">
              <w:rPr>
                <w:noProof/>
                <w:webHidden/>
              </w:rPr>
              <w:t>2</w:t>
            </w:r>
            <w:r w:rsidR="002361E5">
              <w:rPr>
                <w:noProof/>
                <w:webHidden/>
              </w:rPr>
              <w:fldChar w:fldCharType="end"/>
            </w:r>
          </w:hyperlink>
        </w:p>
        <w:p w14:paraId="71A5AFA4"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1" w:history="1">
            <w:r w:rsidR="002361E5" w:rsidRPr="00517260">
              <w:rPr>
                <w:rStyle w:val="Hyperlink"/>
                <w:noProof/>
              </w:rPr>
              <w:t>3.</w:t>
            </w:r>
            <w:r w:rsidR="002361E5">
              <w:rPr>
                <w:rFonts w:eastAsiaTheme="minorEastAsia" w:cstheme="minorBidi"/>
                <w:noProof/>
                <w:sz w:val="22"/>
                <w:szCs w:val="22"/>
                <w:lang w:eastAsia="en-GB"/>
              </w:rPr>
              <w:tab/>
            </w:r>
            <w:r w:rsidR="002361E5" w:rsidRPr="00517260">
              <w:rPr>
                <w:rStyle w:val="Hyperlink"/>
                <w:noProof/>
              </w:rPr>
              <w:t>Data Access Requirements</w:t>
            </w:r>
            <w:r w:rsidR="002361E5">
              <w:rPr>
                <w:noProof/>
                <w:webHidden/>
              </w:rPr>
              <w:tab/>
            </w:r>
            <w:r w:rsidR="002361E5">
              <w:rPr>
                <w:noProof/>
                <w:webHidden/>
              </w:rPr>
              <w:fldChar w:fldCharType="begin"/>
            </w:r>
            <w:r w:rsidR="002361E5">
              <w:rPr>
                <w:noProof/>
                <w:webHidden/>
              </w:rPr>
              <w:instrText xml:space="preserve"> PAGEREF _Toc163136971 \h </w:instrText>
            </w:r>
            <w:r w:rsidR="002361E5">
              <w:rPr>
                <w:noProof/>
                <w:webHidden/>
              </w:rPr>
            </w:r>
            <w:r w:rsidR="002361E5">
              <w:rPr>
                <w:noProof/>
                <w:webHidden/>
              </w:rPr>
              <w:fldChar w:fldCharType="separate"/>
            </w:r>
            <w:r w:rsidR="002361E5">
              <w:rPr>
                <w:noProof/>
                <w:webHidden/>
              </w:rPr>
              <w:t>3</w:t>
            </w:r>
            <w:r w:rsidR="002361E5">
              <w:rPr>
                <w:noProof/>
                <w:webHidden/>
              </w:rPr>
              <w:fldChar w:fldCharType="end"/>
            </w:r>
          </w:hyperlink>
        </w:p>
        <w:p w14:paraId="7C50088B"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2" w:history="1">
            <w:r w:rsidR="002361E5" w:rsidRPr="00517260">
              <w:rPr>
                <w:rStyle w:val="Hyperlink"/>
                <w:noProof/>
              </w:rPr>
              <w:t>4.</w:t>
            </w:r>
            <w:r w:rsidR="002361E5">
              <w:rPr>
                <w:rFonts w:eastAsiaTheme="minorEastAsia" w:cstheme="minorBidi"/>
                <w:noProof/>
                <w:sz w:val="22"/>
                <w:szCs w:val="22"/>
                <w:lang w:eastAsia="en-GB"/>
              </w:rPr>
              <w:tab/>
            </w:r>
            <w:r w:rsidR="002361E5" w:rsidRPr="00517260">
              <w:rPr>
                <w:rStyle w:val="Hyperlink"/>
                <w:noProof/>
              </w:rPr>
              <w:t>Role Based Access Rules</w:t>
            </w:r>
            <w:r w:rsidR="002361E5">
              <w:rPr>
                <w:noProof/>
                <w:webHidden/>
              </w:rPr>
              <w:tab/>
            </w:r>
            <w:r w:rsidR="002361E5">
              <w:rPr>
                <w:noProof/>
                <w:webHidden/>
              </w:rPr>
              <w:fldChar w:fldCharType="begin"/>
            </w:r>
            <w:r w:rsidR="002361E5">
              <w:rPr>
                <w:noProof/>
                <w:webHidden/>
              </w:rPr>
              <w:instrText xml:space="preserve"> PAGEREF _Toc163136972 \h </w:instrText>
            </w:r>
            <w:r w:rsidR="002361E5">
              <w:rPr>
                <w:noProof/>
                <w:webHidden/>
              </w:rPr>
            </w:r>
            <w:r w:rsidR="002361E5">
              <w:rPr>
                <w:noProof/>
                <w:webHidden/>
              </w:rPr>
              <w:fldChar w:fldCharType="separate"/>
            </w:r>
            <w:r w:rsidR="002361E5">
              <w:rPr>
                <w:noProof/>
                <w:webHidden/>
              </w:rPr>
              <w:t>3</w:t>
            </w:r>
            <w:r w:rsidR="002361E5">
              <w:rPr>
                <w:noProof/>
                <w:webHidden/>
              </w:rPr>
              <w:fldChar w:fldCharType="end"/>
            </w:r>
          </w:hyperlink>
        </w:p>
        <w:p w14:paraId="2564BC8D"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3" w:history="1">
            <w:r w:rsidR="002361E5" w:rsidRPr="00517260">
              <w:rPr>
                <w:rStyle w:val="Hyperlink"/>
                <w:noProof/>
              </w:rPr>
              <w:t>5.</w:t>
            </w:r>
            <w:r w:rsidR="002361E5">
              <w:rPr>
                <w:rFonts w:eastAsiaTheme="minorEastAsia" w:cstheme="minorBidi"/>
                <w:noProof/>
                <w:sz w:val="22"/>
                <w:szCs w:val="22"/>
                <w:lang w:eastAsia="en-GB"/>
              </w:rPr>
              <w:tab/>
            </w:r>
            <w:r w:rsidR="002361E5" w:rsidRPr="00517260">
              <w:rPr>
                <w:rStyle w:val="Hyperlink"/>
                <w:noProof/>
              </w:rPr>
              <w:t>Protocol Wording</w:t>
            </w:r>
            <w:r w:rsidR="002361E5">
              <w:rPr>
                <w:noProof/>
                <w:webHidden/>
              </w:rPr>
              <w:tab/>
            </w:r>
            <w:r w:rsidR="002361E5">
              <w:rPr>
                <w:noProof/>
                <w:webHidden/>
              </w:rPr>
              <w:fldChar w:fldCharType="begin"/>
            </w:r>
            <w:r w:rsidR="002361E5">
              <w:rPr>
                <w:noProof/>
                <w:webHidden/>
              </w:rPr>
              <w:instrText xml:space="preserve"> PAGEREF _Toc163136973 \h </w:instrText>
            </w:r>
            <w:r w:rsidR="002361E5">
              <w:rPr>
                <w:noProof/>
                <w:webHidden/>
              </w:rPr>
            </w:r>
            <w:r w:rsidR="002361E5">
              <w:rPr>
                <w:noProof/>
                <w:webHidden/>
              </w:rPr>
              <w:fldChar w:fldCharType="separate"/>
            </w:r>
            <w:r w:rsidR="002361E5">
              <w:rPr>
                <w:noProof/>
                <w:webHidden/>
              </w:rPr>
              <w:t>4</w:t>
            </w:r>
            <w:r w:rsidR="002361E5">
              <w:rPr>
                <w:noProof/>
                <w:webHidden/>
              </w:rPr>
              <w:fldChar w:fldCharType="end"/>
            </w:r>
          </w:hyperlink>
        </w:p>
        <w:p w14:paraId="24A23109"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4" w:history="1">
            <w:r w:rsidR="002361E5" w:rsidRPr="00517260">
              <w:rPr>
                <w:rStyle w:val="Hyperlink"/>
                <w:noProof/>
              </w:rPr>
              <w:t>6.</w:t>
            </w:r>
            <w:r w:rsidR="002361E5">
              <w:rPr>
                <w:rFonts w:eastAsiaTheme="minorEastAsia" w:cstheme="minorBidi"/>
                <w:noProof/>
                <w:sz w:val="22"/>
                <w:szCs w:val="22"/>
                <w:lang w:eastAsia="en-GB"/>
              </w:rPr>
              <w:tab/>
            </w:r>
            <w:r w:rsidR="002361E5" w:rsidRPr="00517260">
              <w:rPr>
                <w:rStyle w:val="Hyperlink"/>
                <w:noProof/>
              </w:rPr>
              <w:t>Pseudo-Anonymisation of data</w:t>
            </w:r>
            <w:r w:rsidR="002361E5">
              <w:rPr>
                <w:noProof/>
                <w:webHidden/>
              </w:rPr>
              <w:tab/>
            </w:r>
            <w:r w:rsidR="002361E5">
              <w:rPr>
                <w:noProof/>
                <w:webHidden/>
              </w:rPr>
              <w:fldChar w:fldCharType="begin"/>
            </w:r>
            <w:r w:rsidR="002361E5">
              <w:rPr>
                <w:noProof/>
                <w:webHidden/>
              </w:rPr>
              <w:instrText xml:space="preserve"> PAGEREF _Toc163136974 \h </w:instrText>
            </w:r>
            <w:r w:rsidR="002361E5">
              <w:rPr>
                <w:noProof/>
                <w:webHidden/>
              </w:rPr>
            </w:r>
            <w:r w:rsidR="002361E5">
              <w:rPr>
                <w:noProof/>
                <w:webHidden/>
              </w:rPr>
              <w:fldChar w:fldCharType="separate"/>
            </w:r>
            <w:r w:rsidR="002361E5">
              <w:rPr>
                <w:noProof/>
                <w:webHidden/>
              </w:rPr>
              <w:t>4</w:t>
            </w:r>
            <w:r w:rsidR="002361E5">
              <w:rPr>
                <w:noProof/>
                <w:webHidden/>
              </w:rPr>
              <w:fldChar w:fldCharType="end"/>
            </w:r>
          </w:hyperlink>
        </w:p>
        <w:p w14:paraId="7D3FE881"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5" w:history="1">
            <w:r w:rsidR="002361E5" w:rsidRPr="00517260">
              <w:rPr>
                <w:rStyle w:val="Hyperlink"/>
                <w:noProof/>
              </w:rPr>
              <w:t>7.</w:t>
            </w:r>
            <w:r w:rsidR="002361E5">
              <w:rPr>
                <w:rFonts w:eastAsiaTheme="minorEastAsia" w:cstheme="minorBidi"/>
                <w:noProof/>
                <w:sz w:val="22"/>
                <w:szCs w:val="22"/>
                <w:lang w:eastAsia="en-GB"/>
              </w:rPr>
              <w:tab/>
            </w:r>
            <w:r w:rsidR="002361E5" w:rsidRPr="00517260">
              <w:rPr>
                <w:rStyle w:val="Hyperlink"/>
                <w:noProof/>
              </w:rPr>
              <w:t>Data Analysis Tools</w:t>
            </w:r>
            <w:r w:rsidR="002361E5">
              <w:rPr>
                <w:noProof/>
                <w:webHidden/>
              </w:rPr>
              <w:tab/>
            </w:r>
            <w:r w:rsidR="002361E5">
              <w:rPr>
                <w:noProof/>
                <w:webHidden/>
              </w:rPr>
              <w:fldChar w:fldCharType="begin"/>
            </w:r>
            <w:r w:rsidR="002361E5">
              <w:rPr>
                <w:noProof/>
                <w:webHidden/>
              </w:rPr>
              <w:instrText xml:space="preserve"> PAGEREF _Toc163136975 \h </w:instrText>
            </w:r>
            <w:r w:rsidR="002361E5">
              <w:rPr>
                <w:noProof/>
                <w:webHidden/>
              </w:rPr>
            </w:r>
            <w:r w:rsidR="002361E5">
              <w:rPr>
                <w:noProof/>
                <w:webHidden/>
              </w:rPr>
              <w:fldChar w:fldCharType="separate"/>
            </w:r>
            <w:r w:rsidR="002361E5">
              <w:rPr>
                <w:noProof/>
                <w:webHidden/>
              </w:rPr>
              <w:t>5</w:t>
            </w:r>
            <w:r w:rsidR="002361E5">
              <w:rPr>
                <w:noProof/>
                <w:webHidden/>
              </w:rPr>
              <w:fldChar w:fldCharType="end"/>
            </w:r>
          </w:hyperlink>
        </w:p>
        <w:p w14:paraId="17C78C96"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6" w:history="1">
            <w:r w:rsidR="002361E5" w:rsidRPr="00517260">
              <w:rPr>
                <w:rStyle w:val="Hyperlink"/>
                <w:noProof/>
              </w:rPr>
              <w:t>8.</w:t>
            </w:r>
            <w:r w:rsidR="002361E5">
              <w:rPr>
                <w:rFonts w:eastAsiaTheme="minorEastAsia" w:cstheme="minorBidi"/>
                <w:noProof/>
                <w:sz w:val="22"/>
                <w:szCs w:val="22"/>
                <w:lang w:eastAsia="en-GB"/>
              </w:rPr>
              <w:tab/>
            </w:r>
            <w:r w:rsidR="002361E5" w:rsidRPr="00517260">
              <w:rPr>
                <w:rStyle w:val="Hyperlink"/>
                <w:noProof/>
              </w:rPr>
              <w:t>Process for Seeking Access to Data</w:t>
            </w:r>
            <w:r w:rsidR="002361E5">
              <w:rPr>
                <w:noProof/>
                <w:webHidden/>
              </w:rPr>
              <w:tab/>
            </w:r>
            <w:r w:rsidR="002361E5">
              <w:rPr>
                <w:noProof/>
                <w:webHidden/>
              </w:rPr>
              <w:fldChar w:fldCharType="begin"/>
            </w:r>
            <w:r w:rsidR="002361E5">
              <w:rPr>
                <w:noProof/>
                <w:webHidden/>
              </w:rPr>
              <w:instrText xml:space="preserve"> PAGEREF _Toc163136976 \h </w:instrText>
            </w:r>
            <w:r w:rsidR="002361E5">
              <w:rPr>
                <w:noProof/>
                <w:webHidden/>
              </w:rPr>
            </w:r>
            <w:r w:rsidR="002361E5">
              <w:rPr>
                <w:noProof/>
                <w:webHidden/>
              </w:rPr>
              <w:fldChar w:fldCharType="separate"/>
            </w:r>
            <w:r w:rsidR="002361E5">
              <w:rPr>
                <w:noProof/>
                <w:webHidden/>
              </w:rPr>
              <w:t>5</w:t>
            </w:r>
            <w:r w:rsidR="002361E5">
              <w:rPr>
                <w:noProof/>
                <w:webHidden/>
              </w:rPr>
              <w:fldChar w:fldCharType="end"/>
            </w:r>
          </w:hyperlink>
        </w:p>
        <w:p w14:paraId="5D69035F" w14:textId="77777777" w:rsidR="002361E5" w:rsidRDefault="00C40B37">
          <w:pPr>
            <w:pStyle w:val="TOC1"/>
            <w:tabs>
              <w:tab w:val="left" w:pos="440"/>
              <w:tab w:val="right" w:leader="dot" w:pos="9968"/>
            </w:tabs>
            <w:rPr>
              <w:rFonts w:eastAsiaTheme="minorEastAsia" w:cstheme="minorBidi"/>
              <w:noProof/>
              <w:sz w:val="22"/>
              <w:szCs w:val="22"/>
              <w:lang w:eastAsia="en-GB"/>
            </w:rPr>
          </w:pPr>
          <w:hyperlink w:anchor="_Toc163136977" w:history="1">
            <w:r w:rsidR="002361E5" w:rsidRPr="00517260">
              <w:rPr>
                <w:rStyle w:val="Hyperlink"/>
                <w:noProof/>
              </w:rPr>
              <w:t>9.</w:t>
            </w:r>
            <w:r w:rsidR="002361E5">
              <w:rPr>
                <w:rFonts w:eastAsiaTheme="minorEastAsia" w:cstheme="minorBidi"/>
                <w:noProof/>
                <w:sz w:val="22"/>
                <w:szCs w:val="22"/>
                <w:lang w:eastAsia="en-GB"/>
              </w:rPr>
              <w:tab/>
            </w:r>
            <w:r w:rsidR="002361E5" w:rsidRPr="00517260">
              <w:rPr>
                <w:rStyle w:val="Hyperlink"/>
                <w:noProof/>
              </w:rPr>
              <w:t>Dissemination of Data Analysis Activity</w:t>
            </w:r>
            <w:r w:rsidR="002361E5">
              <w:rPr>
                <w:noProof/>
                <w:webHidden/>
              </w:rPr>
              <w:tab/>
            </w:r>
            <w:r w:rsidR="002361E5">
              <w:rPr>
                <w:noProof/>
                <w:webHidden/>
              </w:rPr>
              <w:fldChar w:fldCharType="begin"/>
            </w:r>
            <w:r w:rsidR="002361E5">
              <w:rPr>
                <w:noProof/>
                <w:webHidden/>
              </w:rPr>
              <w:instrText xml:space="preserve"> PAGEREF _Toc163136977 \h </w:instrText>
            </w:r>
            <w:r w:rsidR="002361E5">
              <w:rPr>
                <w:noProof/>
                <w:webHidden/>
              </w:rPr>
            </w:r>
            <w:r w:rsidR="002361E5">
              <w:rPr>
                <w:noProof/>
                <w:webHidden/>
              </w:rPr>
              <w:fldChar w:fldCharType="separate"/>
            </w:r>
            <w:r w:rsidR="002361E5">
              <w:rPr>
                <w:noProof/>
                <w:webHidden/>
              </w:rPr>
              <w:t>6</w:t>
            </w:r>
            <w:r w:rsidR="002361E5">
              <w:rPr>
                <w:noProof/>
                <w:webHidden/>
              </w:rPr>
              <w:fldChar w:fldCharType="end"/>
            </w:r>
          </w:hyperlink>
        </w:p>
        <w:p w14:paraId="20B34C26" w14:textId="73E2A5BD" w:rsidR="002361E5" w:rsidRDefault="00C40B37">
          <w:pPr>
            <w:pStyle w:val="TOC1"/>
            <w:tabs>
              <w:tab w:val="right" w:leader="dot" w:pos="9968"/>
            </w:tabs>
            <w:rPr>
              <w:rFonts w:eastAsiaTheme="minorEastAsia" w:cstheme="minorBidi"/>
              <w:noProof/>
              <w:sz w:val="22"/>
              <w:szCs w:val="22"/>
              <w:lang w:eastAsia="en-GB"/>
            </w:rPr>
          </w:pPr>
          <w:hyperlink w:anchor="_Toc163136978" w:history="1">
            <w:r w:rsidR="002361E5" w:rsidRPr="00517260">
              <w:rPr>
                <w:rStyle w:val="Hyperlink"/>
                <w:noProof/>
              </w:rPr>
              <w:t>Appendix 1 – Registries Data Request Form</w:t>
            </w:r>
            <w:r w:rsidR="002361E5">
              <w:rPr>
                <w:noProof/>
                <w:webHidden/>
              </w:rPr>
              <w:tab/>
            </w:r>
            <w:r w:rsidR="002361E5">
              <w:rPr>
                <w:noProof/>
                <w:webHidden/>
              </w:rPr>
              <w:fldChar w:fldCharType="begin"/>
            </w:r>
            <w:r w:rsidR="002361E5">
              <w:rPr>
                <w:noProof/>
                <w:webHidden/>
              </w:rPr>
              <w:instrText xml:space="preserve"> PAGEREF _Toc163136978 \h </w:instrText>
            </w:r>
            <w:r w:rsidR="002361E5">
              <w:rPr>
                <w:noProof/>
                <w:webHidden/>
              </w:rPr>
            </w:r>
            <w:r w:rsidR="002361E5">
              <w:rPr>
                <w:noProof/>
                <w:webHidden/>
              </w:rPr>
              <w:fldChar w:fldCharType="separate"/>
            </w:r>
            <w:r w:rsidR="002361E5">
              <w:rPr>
                <w:noProof/>
                <w:webHidden/>
              </w:rPr>
              <w:t>7</w:t>
            </w:r>
            <w:r w:rsidR="002361E5">
              <w:rPr>
                <w:noProof/>
                <w:webHidden/>
              </w:rPr>
              <w:fldChar w:fldCharType="end"/>
            </w:r>
          </w:hyperlink>
        </w:p>
        <w:p w14:paraId="197D1238" w14:textId="77777777" w:rsidR="002361E5" w:rsidRDefault="00C40B37">
          <w:pPr>
            <w:pStyle w:val="TOC1"/>
            <w:tabs>
              <w:tab w:val="right" w:leader="dot" w:pos="9968"/>
            </w:tabs>
            <w:rPr>
              <w:rFonts w:eastAsiaTheme="minorEastAsia" w:cstheme="minorBidi"/>
              <w:noProof/>
              <w:sz w:val="22"/>
              <w:szCs w:val="22"/>
              <w:lang w:eastAsia="en-GB"/>
            </w:rPr>
          </w:pPr>
          <w:hyperlink w:anchor="_Toc163136979" w:history="1">
            <w:r w:rsidR="002361E5" w:rsidRPr="00517260">
              <w:rPr>
                <w:rStyle w:val="Hyperlink"/>
                <w:noProof/>
              </w:rPr>
              <w:t>Appendix 2 – Registries Data Sharing Agreement (DSA)</w:t>
            </w:r>
            <w:r w:rsidR="002361E5">
              <w:rPr>
                <w:noProof/>
                <w:webHidden/>
              </w:rPr>
              <w:tab/>
            </w:r>
            <w:r w:rsidR="002361E5">
              <w:rPr>
                <w:noProof/>
                <w:webHidden/>
              </w:rPr>
              <w:fldChar w:fldCharType="begin"/>
            </w:r>
            <w:r w:rsidR="002361E5">
              <w:rPr>
                <w:noProof/>
                <w:webHidden/>
              </w:rPr>
              <w:instrText xml:space="preserve"> PAGEREF _Toc163136979 \h </w:instrText>
            </w:r>
            <w:r w:rsidR="002361E5">
              <w:rPr>
                <w:noProof/>
                <w:webHidden/>
              </w:rPr>
            </w:r>
            <w:r w:rsidR="002361E5">
              <w:rPr>
                <w:noProof/>
                <w:webHidden/>
              </w:rPr>
              <w:fldChar w:fldCharType="separate"/>
            </w:r>
            <w:r w:rsidR="002361E5">
              <w:rPr>
                <w:noProof/>
                <w:webHidden/>
              </w:rPr>
              <w:t>10</w:t>
            </w:r>
            <w:r w:rsidR="002361E5">
              <w:rPr>
                <w:noProof/>
                <w:webHidden/>
              </w:rPr>
              <w:fldChar w:fldCharType="end"/>
            </w:r>
          </w:hyperlink>
        </w:p>
        <w:p w14:paraId="6E309B99" w14:textId="77777777" w:rsidR="002361E5" w:rsidRDefault="00C40B37">
          <w:pPr>
            <w:pStyle w:val="TOC1"/>
            <w:tabs>
              <w:tab w:val="right" w:leader="dot" w:pos="9968"/>
            </w:tabs>
            <w:rPr>
              <w:rFonts w:eastAsiaTheme="minorEastAsia" w:cstheme="minorBidi"/>
              <w:noProof/>
              <w:sz w:val="22"/>
              <w:szCs w:val="22"/>
              <w:lang w:eastAsia="en-GB"/>
            </w:rPr>
          </w:pPr>
          <w:hyperlink w:anchor="_Toc163136980" w:history="1">
            <w:r w:rsidR="002361E5" w:rsidRPr="00517260">
              <w:rPr>
                <w:rStyle w:val="Hyperlink"/>
                <w:noProof/>
              </w:rPr>
              <w:t>Annex 1 – International Data Transfer Addendum</w:t>
            </w:r>
            <w:r w:rsidR="002361E5">
              <w:rPr>
                <w:noProof/>
                <w:webHidden/>
              </w:rPr>
              <w:tab/>
            </w:r>
            <w:r w:rsidR="002361E5">
              <w:rPr>
                <w:noProof/>
                <w:webHidden/>
              </w:rPr>
              <w:fldChar w:fldCharType="begin"/>
            </w:r>
            <w:r w:rsidR="002361E5">
              <w:rPr>
                <w:noProof/>
                <w:webHidden/>
              </w:rPr>
              <w:instrText xml:space="preserve"> PAGEREF _Toc163136980 \h </w:instrText>
            </w:r>
            <w:r w:rsidR="002361E5">
              <w:rPr>
                <w:noProof/>
                <w:webHidden/>
              </w:rPr>
            </w:r>
            <w:r w:rsidR="002361E5">
              <w:rPr>
                <w:noProof/>
                <w:webHidden/>
              </w:rPr>
              <w:fldChar w:fldCharType="separate"/>
            </w:r>
            <w:r w:rsidR="002361E5">
              <w:rPr>
                <w:noProof/>
                <w:webHidden/>
              </w:rPr>
              <w:t>15</w:t>
            </w:r>
            <w:r w:rsidR="002361E5">
              <w:rPr>
                <w:noProof/>
                <w:webHidden/>
              </w:rPr>
              <w:fldChar w:fldCharType="end"/>
            </w:r>
          </w:hyperlink>
        </w:p>
        <w:p w14:paraId="59CE31B2" w14:textId="58FD47C2" w:rsidR="002361E5" w:rsidRDefault="00C40B37">
          <w:pPr>
            <w:pStyle w:val="TOC1"/>
            <w:tabs>
              <w:tab w:val="right" w:leader="dot" w:pos="9968"/>
            </w:tabs>
            <w:rPr>
              <w:rFonts w:eastAsiaTheme="minorEastAsia" w:cstheme="minorBidi"/>
              <w:noProof/>
              <w:sz w:val="22"/>
              <w:szCs w:val="22"/>
              <w:lang w:eastAsia="en-GB"/>
            </w:rPr>
          </w:pPr>
          <w:hyperlink w:anchor="_Toc163136981" w:history="1">
            <w:r w:rsidR="002361E5" w:rsidRPr="00517260">
              <w:rPr>
                <w:rStyle w:val="Hyperlink"/>
                <w:noProof/>
              </w:rPr>
              <w:t>Appendix 3 – Registries Data Sharing Agreement Termination</w:t>
            </w:r>
            <w:r w:rsidR="002361E5">
              <w:rPr>
                <w:noProof/>
                <w:webHidden/>
              </w:rPr>
              <w:tab/>
            </w:r>
            <w:r w:rsidR="002361E5">
              <w:rPr>
                <w:noProof/>
                <w:webHidden/>
              </w:rPr>
              <w:fldChar w:fldCharType="begin"/>
            </w:r>
            <w:r w:rsidR="002361E5">
              <w:rPr>
                <w:noProof/>
                <w:webHidden/>
              </w:rPr>
              <w:instrText xml:space="preserve"> PAGEREF _Toc163136981 \h </w:instrText>
            </w:r>
            <w:r w:rsidR="002361E5">
              <w:rPr>
                <w:noProof/>
                <w:webHidden/>
              </w:rPr>
            </w:r>
            <w:r w:rsidR="002361E5">
              <w:rPr>
                <w:noProof/>
                <w:webHidden/>
              </w:rPr>
              <w:fldChar w:fldCharType="separate"/>
            </w:r>
            <w:r w:rsidR="002361E5">
              <w:rPr>
                <w:noProof/>
                <w:webHidden/>
              </w:rPr>
              <w:t>22</w:t>
            </w:r>
            <w:r w:rsidR="002361E5">
              <w:rPr>
                <w:noProof/>
                <w:webHidden/>
              </w:rPr>
              <w:fldChar w:fldCharType="end"/>
            </w:r>
          </w:hyperlink>
        </w:p>
        <w:p w14:paraId="56554FE8" w14:textId="77777777" w:rsidR="002361E5" w:rsidRDefault="00C40B37">
          <w:pPr>
            <w:pStyle w:val="TOC1"/>
            <w:tabs>
              <w:tab w:val="right" w:leader="dot" w:pos="9968"/>
            </w:tabs>
            <w:rPr>
              <w:rFonts w:eastAsiaTheme="minorEastAsia" w:cstheme="minorBidi"/>
              <w:noProof/>
              <w:sz w:val="22"/>
              <w:szCs w:val="22"/>
              <w:lang w:eastAsia="en-GB"/>
            </w:rPr>
          </w:pPr>
          <w:hyperlink w:anchor="_Toc163136982" w:history="1">
            <w:r w:rsidR="002361E5" w:rsidRPr="00517260">
              <w:rPr>
                <w:rStyle w:val="Hyperlink"/>
                <w:noProof/>
              </w:rPr>
              <w:t>Appendix 4 – Link to Data Dictionary</w:t>
            </w:r>
            <w:r w:rsidR="002361E5">
              <w:rPr>
                <w:noProof/>
                <w:webHidden/>
              </w:rPr>
              <w:tab/>
            </w:r>
            <w:r w:rsidR="002361E5">
              <w:rPr>
                <w:noProof/>
                <w:webHidden/>
              </w:rPr>
              <w:fldChar w:fldCharType="begin"/>
            </w:r>
            <w:r w:rsidR="002361E5">
              <w:rPr>
                <w:noProof/>
                <w:webHidden/>
              </w:rPr>
              <w:instrText xml:space="preserve"> PAGEREF _Toc163136982 \h </w:instrText>
            </w:r>
            <w:r w:rsidR="002361E5">
              <w:rPr>
                <w:noProof/>
                <w:webHidden/>
              </w:rPr>
            </w:r>
            <w:r w:rsidR="002361E5">
              <w:rPr>
                <w:noProof/>
                <w:webHidden/>
              </w:rPr>
              <w:fldChar w:fldCharType="separate"/>
            </w:r>
            <w:r w:rsidR="002361E5">
              <w:rPr>
                <w:noProof/>
                <w:webHidden/>
              </w:rPr>
              <w:t>23</w:t>
            </w:r>
            <w:r w:rsidR="002361E5">
              <w:rPr>
                <w:noProof/>
                <w:webHidden/>
              </w:rPr>
              <w:fldChar w:fldCharType="end"/>
            </w:r>
          </w:hyperlink>
        </w:p>
        <w:p w14:paraId="21E753BF" w14:textId="77777777" w:rsidR="002361E5" w:rsidRDefault="00C40B37">
          <w:pPr>
            <w:pStyle w:val="TOC1"/>
            <w:tabs>
              <w:tab w:val="right" w:leader="dot" w:pos="9968"/>
            </w:tabs>
            <w:rPr>
              <w:rFonts w:eastAsiaTheme="minorEastAsia" w:cstheme="minorBidi"/>
              <w:noProof/>
              <w:sz w:val="22"/>
              <w:szCs w:val="22"/>
              <w:lang w:eastAsia="en-GB"/>
            </w:rPr>
          </w:pPr>
          <w:hyperlink w:anchor="_Toc163136983" w:history="1">
            <w:r w:rsidR="002361E5" w:rsidRPr="00517260">
              <w:rPr>
                <w:rStyle w:val="Hyperlink"/>
                <w:noProof/>
              </w:rPr>
              <w:t>Appendix 5 – Data Publication Policy (DPP)</w:t>
            </w:r>
            <w:r w:rsidR="002361E5">
              <w:rPr>
                <w:noProof/>
                <w:webHidden/>
              </w:rPr>
              <w:tab/>
            </w:r>
            <w:r w:rsidR="002361E5">
              <w:rPr>
                <w:noProof/>
                <w:webHidden/>
              </w:rPr>
              <w:fldChar w:fldCharType="begin"/>
            </w:r>
            <w:r w:rsidR="002361E5">
              <w:rPr>
                <w:noProof/>
                <w:webHidden/>
              </w:rPr>
              <w:instrText xml:space="preserve"> PAGEREF _Toc163136983 \h </w:instrText>
            </w:r>
            <w:r w:rsidR="002361E5">
              <w:rPr>
                <w:noProof/>
                <w:webHidden/>
              </w:rPr>
            </w:r>
            <w:r w:rsidR="002361E5">
              <w:rPr>
                <w:noProof/>
                <w:webHidden/>
              </w:rPr>
              <w:fldChar w:fldCharType="separate"/>
            </w:r>
            <w:r w:rsidR="002361E5">
              <w:rPr>
                <w:noProof/>
                <w:webHidden/>
              </w:rPr>
              <w:t>24</w:t>
            </w:r>
            <w:r w:rsidR="002361E5">
              <w:rPr>
                <w:noProof/>
                <w:webHidden/>
              </w:rPr>
              <w:fldChar w:fldCharType="end"/>
            </w:r>
          </w:hyperlink>
        </w:p>
        <w:p w14:paraId="42847F68" w14:textId="77777777" w:rsidR="00D24214" w:rsidRDefault="004F25A1" w:rsidP="00D24214">
          <w:pPr>
            <w:pStyle w:val="TOC1"/>
            <w:tabs>
              <w:tab w:val="right" w:leader="dot" w:pos="9968"/>
            </w:tabs>
            <w:sectPr w:rsidR="00D24214" w:rsidSect="001D7FB5">
              <w:footerReference w:type="even" r:id="rId10"/>
              <w:footerReference w:type="default" r:id="rId11"/>
              <w:headerReference w:type="first" r:id="rId12"/>
              <w:footerReference w:type="first" r:id="rId13"/>
              <w:pgSz w:w="11900" w:h="16840"/>
              <w:pgMar w:top="1247" w:right="561" w:bottom="1276" w:left="1361" w:header="709" w:footer="437" w:gutter="0"/>
              <w:cols w:space="708"/>
              <w:docGrid w:linePitch="326"/>
            </w:sectPr>
          </w:pPr>
          <w:r>
            <w:rPr>
              <w:b/>
              <w:bCs/>
              <w:noProof/>
            </w:rPr>
            <w:fldChar w:fldCharType="end"/>
          </w:r>
        </w:p>
      </w:sdtContent>
    </w:sdt>
    <w:p w14:paraId="70189B62" w14:textId="77777777" w:rsidR="005F44AD" w:rsidRDefault="005F44AD" w:rsidP="005F44AD">
      <w:pPr>
        <w:pStyle w:val="Title"/>
      </w:pPr>
      <w:bookmarkStart w:id="2" w:name="_Toc163136964"/>
      <w:r>
        <w:lastRenderedPageBreak/>
        <w:t>The Society for Endocrinology Registries (‘SfE Registries’)</w:t>
      </w:r>
      <w:bookmarkEnd w:id="2"/>
    </w:p>
    <w:p w14:paraId="7B0E004D" w14:textId="77777777" w:rsidR="005F44AD" w:rsidRDefault="005F44AD" w:rsidP="00F07C46">
      <w:pPr>
        <w:pStyle w:val="Heading1"/>
      </w:pPr>
    </w:p>
    <w:p w14:paraId="632E73FF" w14:textId="77777777" w:rsidR="00EA0448" w:rsidRDefault="002361E5" w:rsidP="00EA0448">
      <w:r>
        <w:t>Sf</w:t>
      </w:r>
      <w:r w:rsidR="00EA0448" w:rsidRPr="00EA0448">
        <w:t xml:space="preserve">E Registries are all built using the same database platform, and each one has its own information website, containing registry-specific information, located at </w:t>
      </w:r>
      <w:hyperlink r:id="rId14" w:history="1">
        <w:r w:rsidR="00EA0448" w:rsidRPr="006E468B">
          <w:rPr>
            <w:rStyle w:val="Hyperlink"/>
          </w:rPr>
          <w:t>https://www.endocrinology.org/clinical-practice/data-registries/</w:t>
        </w:r>
      </w:hyperlink>
      <w:r w:rsidR="00EA0448">
        <w:t xml:space="preserve"> </w:t>
      </w:r>
    </w:p>
    <w:p w14:paraId="0824D861" w14:textId="77777777" w:rsidR="00EA0448" w:rsidRPr="00EA0448" w:rsidRDefault="00EA0448" w:rsidP="00EA0448">
      <w:r w:rsidRPr="00EA0448">
        <w:t>This</w:t>
      </w:r>
      <w:r w:rsidR="002361E5">
        <w:t xml:space="preserve"> Data Access Policy (DAP) for Sf</w:t>
      </w:r>
      <w:r w:rsidRPr="00EA0448">
        <w:t>E Registries covers the following:</w:t>
      </w:r>
    </w:p>
    <w:p w14:paraId="088DB372" w14:textId="77777777" w:rsidR="00EA0448" w:rsidRPr="00EA0448" w:rsidRDefault="00EA0448" w:rsidP="00014241">
      <w:pPr>
        <w:pStyle w:val="ListParagraph"/>
        <w:numPr>
          <w:ilvl w:val="0"/>
          <w:numId w:val="20"/>
        </w:numPr>
      </w:pPr>
      <w:r w:rsidRPr="00EA0448">
        <w:t>The procedure that should be followed for requesting access to data from any specific registry;</w:t>
      </w:r>
    </w:p>
    <w:p w14:paraId="3F29C45A" w14:textId="77777777" w:rsidR="00EA0448" w:rsidRPr="00EA0448" w:rsidRDefault="00EA0448" w:rsidP="00014241">
      <w:pPr>
        <w:pStyle w:val="ListParagraph"/>
        <w:numPr>
          <w:ilvl w:val="0"/>
          <w:numId w:val="20"/>
        </w:numPr>
      </w:pPr>
      <w:r w:rsidRPr="00EA0448">
        <w:t>The processes for reviewing and approving / rejecting any such request;</w:t>
      </w:r>
    </w:p>
    <w:p w14:paraId="405E836B" w14:textId="77777777" w:rsidR="00EA0448" w:rsidRPr="00EA0448" w:rsidRDefault="00EA0448" w:rsidP="00014241">
      <w:pPr>
        <w:pStyle w:val="ListParagraph"/>
        <w:numPr>
          <w:ilvl w:val="0"/>
          <w:numId w:val="20"/>
        </w:numPr>
      </w:pPr>
      <w:r w:rsidRPr="00EA0448">
        <w:t>The terms and conditions that</w:t>
      </w:r>
      <w:r w:rsidR="00014241">
        <w:t xml:space="preserve"> data access is subject to;</w:t>
      </w:r>
    </w:p>
    <w:p w14:paraId="04E467BB" w14:textId="77777777" w:rsidR="00EA0448" w:rsidRPr="00EA0448" w:rsidRDefault="00EA0448" w:rsidP="00014241">
      <w:pPr>
        <w:pStyle w:val="ListParagraph"/>
        <w:numPr>
          <w:ilvl w:val="0"/>
          <w:numId w:val="20"/>
        </w:numPr>
      </w:pPr>
      <w:r w:rsidRPr="00EA0448">
        <w:t>Terms relating to publi</w:t>
      </w:r>
      <w:r w:rsidR="002361E5">
        <w:t>cation of outcomes based upon Sf</w:t>
      </w:r>
      <w:r w:rsidRPr="00EA0448">
        <w:t>E Registry data (‘Publication Policy’).</w:t>
      </w:r>
    </w:p>
    <w:p w14:paraId="496C2BD4" w14:textId="5C6BD1B0" w:rsidR="00EA0448" w:rsidRDefault="00EA0448" w:rsidP="00EA0448">
      <w:r w:rsidRPr="00EA0448">
        <w:t xml:space="preserve">The DAP also includes information regarding the governance and oversight of </w:t>
      </w:r>
      <w:r w:rsidR="00A57B2D" w:rsidRPr="00EA0448">
        <w:t>S</w:t>
      </w:r>
      <w:r w:rsidR="00A57B2D">
        <w:t>fE</w:t>
      </w:r>
      <w:r w:rsidR="00A57B2D" w:rsidRPr="00EA0448">
        <w:t xml:space="preserve"> </w:t>
      </w:r>
      <w:r w:rsidRPr="00EA0448">
        <w:t>Registries.</w:t>
      </w:r>
    </w:p>
    <w:p w14:paraId="55DA3503" w14:textId="77777777" w:rsidR="00EA0448" w:rsidRPr="00BC5F1B" w:rsidRDefault="00EA0448" w:rsidP="00BC5F1B">
      <w:pPr>
        <w:pStyle w:val="Heading1"/>
      </w:pPr>
      <w:bookmarkStart w:id="3" w:name="_Toc163136965"/>
      <w:r w:rsidRPr="00EA0448">
        <w:t>1.</w:t>
      </w:r>
      <w:r w:rsidRPr="00EA0448">
        <w:tab/>
        <w:t>Governance &amp; Committees</w:t>
      </w:r>
      <w:bookmarkEnd w:id="3"/>
    </w:p>
    <w:p w14:paraId="2F309B7E" w14:textId="77777777" w:rsidR="00EA0448" w:rsidRPr="004F25A1" w:rsidRDefault="00EA0448" w:rsidP="004F25A1">
      <w:pPr>
        <w:pStyle w:val="Heading2"/>
      </w:pPr>
      <w:bookmarkStart w:id="4" w:name="_Toc163136966"/>
      <w:r w:rsidRPr="004F25A1">
        <w:t>The Clinical Committee</w:t>
      </w:r>
      <w:bookmarkEnd w:id="4"/>
    </w:p>
    <w:p w14:paraId="005B7996" w14:textId="0EB23BB3" w:rsidR="00CF6B48" w:rsidRPr="004F25A1" w:rsidRDefault="00EA0448" w:rsidP="00776142">
      <w:r w:rsidRPr="00EA0448">
        <w:t>The Clinical Committe</w:t>
      </w:r>
      <w:r w:rsidR="002361E5">
        <w:t>e has direct oversight of the Sf</w:t>
      </w:r>
      <w:r w:rsidRPr="00EA0448">
        <w:t xml:space="preserve">E Registries program, and will coordinate registry operations under the general stewardship of Council. Details of the composition and role of the Clinical Committee can be found here </w:t>
      </w:r>
      <w:hyperlink r:id="rId15" w:history="1">
        <w:r w:rsidR="00CF6B48" w:rsidRPr="00B9636E">
          <w:rPr>
            <w:rStyle w:val="Hyperlink"/>
          </w:rPr>
          <w:t>https://www.endocrinology.org/about-us/governance/clinical-committee/</w:t>
        </w:r>
      </w:hyperlink>
      <w:r w:rsidR="00CF6B48">
        <w:t xml:space="preserve"> </w:t>
      </w:r>
    </w:p>
    <w:p w14:paraId="2920A5F3" w14:textId="6FD47F9D" w:rsidR="00EA0448" w:rsidRPr="00EA0448" w:rsidRDefault="002361E5" w:rsidP="00EA0448">
      <w:r>
        <w:t>Each Sf</w:t>
      </w:r>
      <w:r w:rsidR="00EA0448" w:rsidRPr="00EA0448">
        <w:t xml:space="preserve">E Registry has a dedicated </w:t>
      </w:r>
      <w:r w:rsidR="00B92F33">
        <w:t>Registry Steering Committee</w:t>
      </w:r>
      <w:r w:rsidR="00EA0448" w:rsidRPr="00EA0448">
        <w:t>. Deta</w:t>
      </w:r>
      <w:r>
        <w:t xml:space="preserve">ils of the </w:t>
      </w:r>
      <w:r w:rsidR="00B92F33">
        <w:t xml:space="preserve">Registry Steering Committee </w:t>
      </w:r>
      <w:r>
        <w:t>for a specific Sf</w:t>
      </w:r>
      <w:r w:rsidR="00EA0448" w:rsidRPr="00EA0448">
        <w:t xml:space="preserve">E Registry can be found here </w:t>
      </w:r>
      <w:hyperlink r:id="rId16" w:history="1">
        <w:r w:rsidR="00EA0448" w:rsidRPr="006E468B">
          <w:rPr>
            <w:rStyle w:val="Hyperlink"/>
          </w:rPr>
          <w:t>https://www.endocrinology.org/clinical-practice/data-registries</w:t>
        </w:r>
      </w:hyperlink>
      <w:r w:rsidR="00EA0448" w:rsidRPr="00EA0448">
        <w:t>.</w:t>
      </w:r>
    </w:p>
    <w:p w14:paraId="648B35CA" w14:textId="52E60494" w:rsidR="00EA0448" w:rsidRPr="004F25A1" w:rsidRDefault="00EA0448" w:rsidP="004F25A1">
      <w:pPr>
        <w:pStyle w:val="Heading2"/>
      </w:pPr>
      <w:bookmarkStart w:id="5" w:name="_Toc163136968"/>
      <w:r w:rsidRPr="004F25A1">
        <w:t xml:space="preserve">Data Access Committee </w:t>
      </w:r>
      <w:bookmarkEnd w:id="5"/>
    </w:p>
    <w:p w14:paraId="4B9B7068" w14:textId="2F273D9B" w:rsidR="00EA0448" w:rsidRPr="00EA0448" w:rsidRDefault="00EA0448" w:rsidP="00EA0448">
      <w:r w:rsidRPr="00EA0448">
        <w:t xml:space="preserve">Each </w:t>
      </w:r>
      <w:r w:rsidR="00B92F33">
        <w:t>Registry Steering Committee</w:t>
      </w:r>
      <w:r w:rsidR="00B92F33" w:rsidRPr="00EA0448">
        <w:t xml:space="preserve"> </w:t>
      </w:r>
      <w:r w:rsidRPr="00EA0448">
        <w:t xml:space="preserve">will act as the </w:t>
      </w:r>
      <w:r w:rsidR="00B92F33">
        <w:t>Data Access Committee</w:t>
      </w:r>
      <w:r w:rsidR="00B92F33" w:rsidRPr="00EA0448">
        <w:t xml:space="preserve"> </w:t>
      </w:r>
      <w:r w:rsidRPr="00EA0448">
        <w:t>for that particular regist</w:t>
      </w:r>
      <w:r w:rsidR="00C86500">
        <w:t>ry’s</w:t>
      </w:r>
      <w:r w:rsidRPr="00EA0448">
        <w:t xml:space="preserve"> data. The </w:t>
      </w:r>
      <w:r w:rsidR="00B92F33">
        <w:t>Registry Steering Committee</w:t>
      </w:r>
      <w:r w:rsidR="00B92F33" w:rsidRPr="00EA0448">
        <w:t xml:space="preserve"> </w:t>
      </w:r>
      <w:r w:rsidRPr="00EA0448">
        <w:t xml:space="preserve">may wish to bring in additional </w:t>
      </w:r>
      <w:r w:rsidR="00A57B2D">
        <w:t>input</w:t>
      </w:r>
      <w:r w:rsidR="00A57B2D" w:rsidRPr="00EA0448">
        <w:t xml:space="preserve"> </w:t>
      </w:r>
      <w:r w:rsidRPr="00EA0448">
        <w:t>from Clinical Committee, or elsewhere, if there is a request for access to data that</w:t>
      </w:r>
      <w:r w:rsidR="00A57B2D">
        <w:t xml:space="preserve"> requires particular expertise to assess</w:t>
      </w:r>
      <w:r w:rsidRPr="00EA0448">
        <w:t xml:space="preserve">. </w:t>
      </w:r>
    </w:p>
    <w:p w14:paraId="25342072" w14:textId="77777777" w:rsidR="00EA0448" w:rsidRPr="004F25A1" w:rsidRDefault="00EA0448" w:rsidP="004F25A1">
      <w:pPr>
        <w:pStyle w:val="Heading2"/>
      </w:pPr>
      <w:bookmarkStart w:id="6" w:name="_Toc163136969"/>
      <w:r w:rsidRPr="004F25A1">
        <w:t>Project Management</w:t>
      </w:r>
      <w:bookmarkEnd w:id="6"/>
      <w:r w:rsidRPr="004F25A1">
        <w:t xml:space="preserve"> </w:t>
      </w:r>
    </w:p>
    <w:p w14:paraId="5BCD8702" w14:textId="4CAFC068" w:rsidR="00EA0448" w:rsidRPr="00EA0448" w:rsidRDefault="00EA0448" w:rsidP="00EA0448">
      <w:pPr>
        <w:spacing w:after="0"/>
      </w:pPr>
      <w:r w:rsidRPr="00EA0448">
        <w:t>Day</w:t>
      </w:r>
      <w:r w:rsidR="002361E5">
        <w:t>-to-day project management of Sf</w:t>
      </w:r>
      <w:r w:rsidRPr="00EA0448">
        <w:t>E Registries falls with the Society</w:t>
      </w:r>
      <w:r w:rsidR="00A57B2D">
        <w:t xml:space="preserve"> office</w:t>
      </w:r>
      <w:r w:rsidRPr="00EA0448">
        <w:t xml:space="preserve"> </w:t>
      </w:r>
    </w:p>
    <w:p w14:paraId="76C15082" w14:textId="77777777" w:rsidR="00EA0448" w:rsidRPr="00EA0448" w:rsidRDefault="00EA0448" w:rsidP="00EA0448">
      <w:pPr>
        <w:pStyle w:val="Heading1"/>
      </w:pPr>
      <w:bookmarkStart w:id="7" w:name="_Toc163136970"/>
      <w:r w:rsidRPr="00EA0448">
        <w:t>2.</w:t>
      </w:r>
      <w:r w:rsidRPr="00EA0448">
        <w:tab/>
        <w:t>The Utility of the Registry</w:t>
      </w:r>
      <w:bookmarkEnd w:id="7"/>
    </w:p>
    <w:p w14:paraId="713A83EF" w14:textId="22D7F568" w:rsidR="00EA0448" w:rsidRPr="00EA0448" w:rsidRDefault="002361E5" w:rsidP="00EA0448">
      <w:r>
        <w:t>It is expected that the Sf</w:t>
      </w:r>
      <w:r w:rsidR="00EA0448" w:rsidRPr="00EA0448">
        <w:t xml:space="preserve">E Registries will mainly facilitate </w:t>
      </w:r>
      <w:r w:rsidR="000436B0">
        <w:t>academic and/or commercial S</w:t>
      </w:r>
      <w:r w:rsidR="00EA0448" w:rsidRPr="00EA0448">
        <w:t>econdary Research of the data collected during routine clinical care, supplemented by the patients themselves. This form of research will be authorised through ethics approval for each registry, and will also be sanctioned by acceptance of intended data use</w:t>
      </w:r>
      <w:r w:rsidR="00D4461C">
        <w:t>s</w:t>
      </w:r>
      <w:r w:rsidR="00EA0448" w:rsidRPr="00EA0448">
        <w:t xml:space="preserve"> described in the participant information sheet. It is anticipated that the data may be used by a wide range of stakeholder</w:t>
      </w:r>
      <w:r w:rsidR="006962E1">
        <w:t>s (“Investigators”)</w:t>
      </w:r>
      <w:r w:rsidR="00B74098">
        <w:t>,</w:t>
      </w:r>
      <w:r w:rsidR="006962E1">
        <w:t xml:space="preserve"> to provide:</w:t>
      </w:r>
    </w:p>
    <w:p w14:paraId="6CE459A3" w14:textId="3DCEB5B5" w:rsidR="00EA0448" w:rsidRPr="00EA0448" w:rsidRDefault="00EA0448" w:rsidP="00BC5F1B">
      <w:pPr>
        <w:pStyle w:val="ListParagraph"/>
        <w:numPr>
          <w:ilvl w:val="0"/>
          <w:numId w:val="12"/>
        </w:numPr>
      </w:pPr>
      <w:r w:rsidRPr="00EA0448">
        <w:t xml:space="preserve">A source population for the conduct of </w:t>
      </w:r>
      <w:r w:rsidR="00B92F33">
        <w:t>C</w:t>
      </w:r>
      <w:r w:rsidRPr="00EA0448">
        <w:t xml:space="preserve">linical </w:t>
      </w:r>
      <w:r w:rsidR="00B92F33">
        <w:t>T</w:t>
      </w:r>
      <w:r w:rsidRPr="00EA0448">
        <w:t>rials;</w:t>
      </w:r>
    </w:p>
    <w:p w14:paraId="0163DA50" w14:textId="77777777" w:rsidR="00EA0448" w:rsidRPr="00EA0448" w:rsidRDefault="00EA0448" w:rsidP="00BC5F1B">
      <w:pPr>
        <w:pStyle w:val="ListParagraph"/>
        <w:numPr>
          <w:ilvl w:val="0"/>
          <w:numId w:val="12"/>
        </w:numPr>
      </w:pPr>
      <w:r w:rsidRPr="00EA0448">
        <w:t>Information on specific interventions related to defined patient groups;</w:t>
      </w:r>
    </w:p>
    <w:p w14:paraId="6EBADE91" w14:textId="606C1B1D" w:rsidR="00EA0448" w:rsidRPr="00EA0448" w:rsidRDefault="00EA0448" w:rsidP="00BC5F1B">
      <w:pPr>
        <w:pStyle w:val="ListParagraph"/>
        <w:numPr>
          <w:ilvl w:val="0"/>
          <w:numId w:val="12"/>
        </w:numPr>
      </w:pPr>
      <w:r w:rsidRPr="00EA0448">
        <w:t xml:space="preserve">Follow-up of </w:t>
      </w:r>
      <w:r w:rsidR="00B92F33">
        <w:t>rare condition</w:t>
      </w:r>
      <w:r w:rsidR="00B92F33" w:rsidRPr="00EA0448">
        <w:t xml:space="preserve"> </w:t>
      </w:r>
      <w:r w:rsidRPr="00EA0448">
        <w:t>patient populations;</w:t>
      </w:r>
    </w:p>
    <w:p w14:paraId="11F940AA" w14:textId="77777777" w:rsidR="00EA0448" w:rsidRPr="00EA0448" w:rsidRDefault="00EA0448" w:rsidP="00BC5F1B">
      <w:pPr>
        <w:pStyle w:val="ListParagraph"/>
        <w:numPr>
          <w:ilvl w:val="0"/>
          <w:numId w:val="12"/>
        </w:numPr>
      </w:pPr>
      <w:r w:rsidRPr="00EA0448">
        <w:t xml:space="preserve">Life-cycle assessment of the effectiveness and safety of interventions and medicinal products; </w:t>
      </w:r>
    </w:p>
    <w:p w14:paraId="22326C7D" w14:textId="77777777" w:rsidR="00EA0448" w:rsidRPr="00EA0448" w:rsidRDefault="00EA0448" w:rsidP="00BC5F1B">
      <w:pPr>
        <w:pStyle w:val="ListParagraph"/>
        <w:numPr>
          <w:ilvl w:val="0"/>
          <w:numId w:val="12"/>
        </w:numPr>
      </w:pPr>
      <w:r w:rsidRPr="00EA0448">
        <w:t>Robust data on disease epidemiology, patients’ characteristics and current standard of care;</w:t>
      </w:r>
    </w:p>
    <w:p w14:paraId="0378A9C4" w14:textId="77777777" w:rsidR="00EA0448" w:rsidRPr="00EA0448" w:rsidRDefault="00EA0448" w:rsidP="00BC5F1B">
      <w:pPr>
        <w:pStyle w:val="ListParagraph"/>
        <w:numPr>
          <w:ilvl w:val="0"/>
          <w:numId w:val="12"/>
        </w:numPr>
      </w:pPr>
      <w:r w:rsidRPr="00EA0448">
        <w:lastRenderedPageBreak/>
        <w:t>Source population data that can be linked to other datasets on specific outcomes;</w:t>
      </w:r>
    </w:p>
    <w:p w14:paraId="47157A14" w14:textId="77777777" w:rsidR="00EA0448" w:rsidRPr="00EA0448" w:rsidRDefault="00EA0448" w:rsidP="00BC5F1B">
      <w:pPr>
        <w:pStyle w:val="ListParagraph"/>
        <w:numPr>
          <w:ilvl w:val="0"/>
          <w:numId w:val="12"/>
        </w:numPr>
      </w:pPr>
      <w:r w:rsidRPr="00EA0448">
        <w:t>Data to industry, regulators and other trial lists to facilitate the design of pragmatic trials for rare conditions as well as for conducting post-authorisation studies;</w:t>
      </w:r>
    </w:p>
    <w:p w14:paraId="1DF91BBF" w14:textId="77777777" w:rsidR="00EA0448" w:rsidRPr="00EA0448" w:rsidRDefault="00EA0448" w:rsidP="00BC5F1B">
      <w:pPr>
        <w:pStyle w:val="ListParagraph"/>
        <w:numPr>
          <w:ilvl w:val="0"/>
          <w:numId w:val="12"/>
        </w:numPr>
      </w:pPr>
      <w:r w:rsidRPr="00EA0448">
        <w:t>Linkages to other rare disease registries approved by the Steering Committees.</w:t>
      </w:r>
    </w:p>
    <w:p w14:paraId="78AA36FD" w14:textId="77777777" w:rsidR="00EA0448" w:rsidRPr="00EA0448" w:rsidRDefault="00EA0448" w:rsidP="00BC5F1B">
      <w:pPr>
        <w:pStyle w:val="Heading1"/>
      </w:pPr>
      <w:bookmarkStart w:id="8" w:name="_Toc163136971"/>
      <w:r w:rsidRPr="00EA0448">
        <w:t>3.</w:t>
      </w:r>
      <w:r w:rsidRPr="00EA0448">
        <w:tab/>
        <w:t>Data Access Requirements</w:t>
      </w:r>
      <w:bookmarkEnd w:id="8"/>
    </w:p>
    <w:p w14:paraId="350C887D" w14:textId="4428A844" w:rsidR="00EA0448" w:rsidRPr="00EA0448" w:rsidRDefault="002361E5" w:rsidP="00BC5F1B">
      <w:r>
        <w:t>Sf</w:t>
      </w:r>
      <w:r w:rsidR="00EA0448" w:rsidRPr="00EA0448">
        <w:t>E encourages the wide use</w:t>
      </w:r>
      <w:r>
        <w:t xml:space="preserve"> of the data contained in the Sf</w:t>
      </w:r>
      <w:r w:rsidR="00EA0448" w:rsidRPr="00EA0448">
        <w:t>E Registries</w:t>
      </w:r>
      <w:r w:rsidR="00290079">
        <w:t xml:space="preserve"> across academia, public health and the pharmaceutical industry</w:t>
      </w:r>
      <w:r w:rsidR="00EA0448" w:rsidRPr="00EA0448">
        <w:t xml:space="preserve">. </w:t>
      </w:r>
    </w:p>
    <w:p w14:paraId="3CDCF190" w14:textId="2E5917B4" w:rsidR="00EA0448" w:rsidRPr="00EA0448" w:rsidRDefault="00EA0448" w:rsidP="00BC5F1B">
      <w:r w:rsidRPr="00EA0448">
        <w:t xml:space="preserve">All Investigators requesting access to registry data must complete a Data Request Form – a template </w:t>
      </w:r>
      <w:r w:rsidR="00014241">
        <w:t>for</w:t>
      </w:r>
      <w:r w:rsidRPr="00EA0448">
        <w:t xml:space="preserve"> which is shown in Appendix 1 below, and available for completion at </w:t>
      </w:r>
      <w:hyperlink r:id="rId17" w:history="1">
        <w:r w:rsidR="00BC5F1B" w:rsidRPr="006E468B">
          <w:rPr>
            <w:rStyle w:val="Hyperlink"/>
          </w:rPr>
          <w:t>https://www.endocrinology.org/clinical-practice/data-registries</w:t>
        </w:r>
      </w:hyperlink>
      <w:r w:rsidRPr="00EA0448">
        <w:t>.</w:t>
      </w:r>
    </w:p>
    <w:p w14:paraId="032BE61A" w14:textId="2AEF2B02" w:rsidR="00EA0448" w:rsidRPr="00EA0448" w:rsidRDefault="00EA0448" w:rsidP="00BC5F1B">
      <w:r w:rsidRPr="00EA0448">
        <w:t xml:space="preserve">The minimum requirements for data access to be approved by the </w:t>
      </w:r>
      <w:r w:rsidR="006B719E">
        <w:t>Registry Steering Committee</w:t>
      </w:r>
      <w:r w:rsidR="006B719E" w:rsidRPr="00EA0448">
        <w:t xml:space="preserve"> </w:t>
      </w:r>
      <w:r w:rsidRPr="00EA0448">
        <w:t>are:</w:t>
      </w:r>
    </w:p>
    <w:p w14:paraId="46271D2E" w14:textId="77777777" w:rsidR="00EA0448" w:rsidRPr="00EA0448" w:rsidRDefault="00EA0448" w:rsidP="00E4747D">
      <w:pPr>
        <w:pStyle w:val="ListParagraph"/>
        <w:numPr>
          <w:ilvl w:val="0"/>
          <w:numId w:val="16"/>
        </w:numPr>
      </w:pPr>
      <w:r w:rsidRPr="00EA0448">
        <w:t xml:space="preserve">Intended use must be for </w:t>
      </w:r>
      <w:r w:rsidR="00014241">
        <w:t xml:space="preserve">the </w:t>
      </w:r>
      <w:r w:rsidRPr="00EA0448">
        <w:t>furtherance of scientific knowledge or improved clinical outcomes for patients (including future pharmaceutical solutions);</w:t>
      </w:r>
    </w:p>
    <w:p w14:paraId="65974E38" w14:textId="45C9B72A" w:rsidR="00EA0448" w:rsidRPr="00EA0448" w:rsidRDefault="00EA0448" w:rsidP="00E4747D">
      <w:pPr>
        <w:pStyle w:val="ListParagraph"/>
        <w:numPr>
          <w:ilvl w:val="0"/>
          <w:numId w:val="16"/>
        </w:numPr>
      </w:pPr>
      <w:r w:rsidRPr="00EA0448">
        <w:t>Investigator must demonstrate that they have sufficient funding in place to complete their research objectives;</w:t>
      </w:r>
      <w:r w:rsidR="00B92F33">
        <w:t xml:space="preserve"> </w:t>
      </w:r>
    </w:p>
    <w:p w14:paraId="78A0A962" w14:textId="77777777" w:rsidR="00EA0448" w:rsidRPr="00EA0448" w:rsidRDefault="00EA0448" w:rsidP="00E4747D">
      <w:pPr>
        <w:pStyle w:val="ListParagraph"/>
        <w:numPr>
          <w:ilvl w:val="0"/>
          <w:numId w:val="16"/>
        </w:numPr>
      </w:pPr>
      <w:r w:rsidRPr="00EA0448">
        <w:t>Investigators must agree to, and observe, the terms and conditions pertaining to registry data access.</w:t>
      </w:r>
    </w:p>
    <w:p w14:paraId="468F1C26" w14:textId="77777777" w:rsidR="00EA0448" w:rsidRPr="00EA0448" w:rsidRDefault="00EA0448" w:rsidP="00BC5F1B">
      <w:r w:rsidRPr="00EA0448">
        <w:t>Note that any third parties or individuals that are not contributing to the advancement of clinical research or treatments will not be considered for a data access request.</w:t>
      </w:r>
    </w:p>
    <w:p w14:paraId="7B37A7E8" w14:textId="602945C7" w:rsidR="00EA0448" w:rsidRPr="00EA0448" w:rsidRDefault="00EA0448" w:rsidP="00BC5F1B">
      <w:r w:rsidRPr="00EA0448">
        <w:t>To discuss the criteria for access to registry data</w:t>
      </w:r>
      <w:r w:rsidR="00DA2F39">
        <w:t>, or pre-clinical trial access,</w:t>
      </w:r>
      <w:r w:rsidRPr="00EA0448">
        <w:t xml:space="preserve"> prior to completing a </w:t>
      </w:r>
      <w:r w:rsidR="006B719E">
        <w:t>Data Request Form</w:t>
      </w:r>
      <w:r w:rsidR="006B719E" w:rsidRPr="00EA0448">
        <w:t xml:space="preserve"> </w:t>
      </w:r>
      <w:r w:rsidRPr="00EA0448">
        <w:t xml:space="preserve">Investigators should contact </w:t>
      </w:r>
      <w:hyperlink r:id="rId18" w:history="1">
        <w:r w:rsidR="00BC5F1B" w:rsidRPr="006E468B">
          <w:rPr>
            <w:rStyle w:val="Hyperlink"/>
          </w:rPr>
          <w:t>research@endocrinology.org</w:t>
        </w:r>
      </w:hyperlink>
      <w:r w:rsidR="00DA2F39">
        <w:rPr>
          <w:rStyle w:val="Hyperlink"/>
        </w:rPr>
        <w:t>.</w:t>
      </w:r>
    </w:p>
    <w:p w14:paraId="213161C6" w14:textId="59C6C208" w:rsidR="00EA0448" w:rsidRPr="00EA0448" w:rsidRDefault="00EA0448" w:rsidP="00BC5F1B">
      <w:pPr>
        <w:pStyle w:val="Heading1"/>
      </w:pPr>
      <w:bookmarkStart w:id="9" w:name="_Toc163136972"/>
      <w:r w:rsidRPr="00EA0448">
        <w:t>4.</w:t>
      </w:r>
      <w:r w:rsidRPr="00EA0448">
        <w:tab/>
        <w:t>Role</w:t>
      </w:r>
      <w:r w:rsidR="00290079">
        <w:t>-</w:t>
      </w:r>
      <w:r w:rsidRPr="00EA0448">
        <w:t>Based Access Rules</w:t>
      </w:r>
      <w:bookmarkEnd w:id="9"/>
    </w:p>
    <w:p w14:paraId="7E80B162" w14:textId="58205234" w:rsidR="00EA0448" w:rsidRDefault="00EA0448" w:rsidP="00BC5F1B">
      <w:r w:rsidRPr="00EA0448">
        <w:t xml:space="preserve">Investigators from a variety of backgrounds can request access to registry data. This includes academic and healthcare institutions, government and public health organisations, patient organisations and the pharmaceutical industry. </w:t>
      </w:r>
      <w:r w:rsidR="00342D12">
        <w:t>It is anticipated that t</w:t>
      </w:r>
      <w:r w:rsidRPr="00EA0448">
        <w:t xml:space="preserve">he following broad groups of investigators </w:t>
      </w:r>
      <w:r w:rsidR="00342D12">
        <w:t xml:space="preserve">may </w:t>
      </w:r>
      <w:r w:rsidR="006B719E">
        <w:t>want</w:t>
      </w:r>
      <w:r w:rsidRPr="00EA0448">
        <w:t xml:space="preserve"> </w:t>
      </w:r>
      <w:r w:rsidR="00342D12">
        <w:t xml:space="preserve">to </w:t>
      </w:r>
      <w:r w:rsidRPr="00EA0448">
        <w:t xml:space="preserve">access </w:t>
      </w:r>
      <w:r w:rsidR="00342D12">
        <w:t>registry</w:t>
      </w:r>
      <w:r w:rsidRPr="00EA0448">
        <w:t xml:space="preserve"> data:</w:t>
      </w:r>
    </w:p>
    <w:tbl>
      <w:tblPr>
        <w:tblStyle w:val="TableGrid1"/>
        <w:tblW w:w="0" w:type="auto"/>
        <w:tblLook w:val="04A0" w:firstRow="1" w:lastRow="0" w:firstColumn="1" w:lastColumn="0" w:noHBand="0" w:noVBand="1"/>
      </w:tblPr>
      <w:tblGrid>
        <w:gridCol w:w="3544"/>
        <w:gridCol w:w="5665"/>
      </w:tblGrid>
      <w:tr w:rsidR="00D27B1B" w:rsidRPr="00D27B1B" w14:paraId="2E114268" w14:textId="77777777" w:rsidTr="001F3650">
        <w:tc>
          <w:tcPr>
            <w:tcW w:w="3544" w:type="dxa"/>
          </w:tcPr>
          <w:p w14:paraId="2A21EF3E" w14:textId="77777777" w:rsidR="00D27B1B" w:rsidRPr="00D27B1B" w:rsidRDefault="00D27B1B" w:rsidP="00D27B1B">
            <w:pPr>
              <w:rPr>
                <w:lang w:eastAsia="zh-CN"/>
              </w:rPr>
            </w:pPr>
            <w:r w:rsidRPr="00D27B1B">
              <w:rPr>
                <w:lang w:eastAsia="zh-CN"/>
              </w:rPr>
              <w:t>Patient participants</w:t>
            </w:r>
          </w:p>
        </w:tc>
        <w:tc>
          <w:tcPr>
            <w:tcW w:w="5665" w:type="dxa"/>
          </w:tcPr>
          <w:p w14:paraId="72E3F3EA" w14:textId="27707E66" w:rsidR="00D27B1B" w:rsidRPr="00D27B1B" w:rsidRDefault="00D27B1B" w:rsidP="00F73CFD">
            <w:pPr>
              <w:rPr>
                <w:lang w:eastAsia="zh-CN"/>
              </w:rPr>
            </w:pPr>
            <w:r w:rsidRPr="00D27B1B">
              <w:rPr>
                <w:lang w:eastAsia="zh-CN"/>
              </w:rPr>
              <w:t xml:space="preserve">This group will have access only to the details that they input </w:t>
            </w:r>
            <w:r w:rsidR="00342D12">
              <w:rPr>
                <w:lang w:eastAsia="zh-CN"/>
              </w:rPr>
              <w:t xml:space="preserve">to </w:t>
            </w:r>
            <w:r w:rsidR="006B719E">
              <w:rPr>
                <w:lang w:eastAsia="zh-CN"/>
              </w:rPr>
              <w:t xml:space="preserve">the </w:t>
            </w:r>
            <w:r w:rsidR="00342D12">
              <w:rPr>
                <w:lang w:eastAsia="zh-CN"/>
              </w:rPr>
              <w:t xml:space="preserve">third-party, </w:t>
            </w:r>
            <w:r w:rsidR="00376AB8">
              <w:rPr>
                <w:lang w:eastAsia="zh-CN"/>
              </w:rPr>
              <w:t>cloud-based</w:t>
            </w:r>
            <w:r w:rsidR="00342D12">
              <w:rPr>
                <w:lang w:eastAsia="zh-CN"/>
              </w:rPr>
              <w:t xml:space="preserve"> App supplied by</w:t>
            </w:r>
            <w:r w:rsidR="00342D12" w:rsidRPr="00D27B1B">
              <w:rPr>
                <w:lang w:eastAsia="zh-CN"/>
              </w:rPr>
              <w:t xml:space="preserve"> PeopleWith</w:t>
            </w:r>
            <w:r w:rsidR="00342D12">
              <w:rPr>
                <w:lang w:eastAsia="zh-CN"/>
              </w:rPr>
              <w:t xml:space="preserve">, </w:t>
            </w:r>
            <w:r w:rsidR="00DE2560">
              <w:rPr>
                <w:lang w:eastAsia="zh-CN"/>
              </w:rPr>
              <w:t xml:space="preserve">which is </w:t>
            </w:r>
            <w:r w:rsidR="00342D12">
              <w:rPr>
                <w:lang w:eastAsia="zh-CN"/>
              </w:rPr>
              <w:t>being used to collect real world patient information</w:t>
            </w:r>
            <w:r w:rsidRPr="00D27B1B">
              <w:rPr>
                <w:lang w:eastAsia="zh-CN"/>
              </w:rPr>
              <w:t>. They will have ability to add in data at any point in time (using a web-based mobile App). They may have questionnaires ‘pushed’ onto their app when appropriate per the protocol of the specific registry in which they are participating.</w:t>
            </w:r>
          </w:p>
        </w:tc>
      </w:tr>
      <w:tr w:rsidR="00D27B1B" w:rsidRPr="00D27B1B" w14:paraId="4630F9A6" w14:textId="77777777" w:rsidTr="001F3650">
        <w:tc>
          <w:tcPr>
            <w:tcW w:w="3544" w:type="dxa"/>
          </w:tcPr>
          <w:p w14:paraId="672D66EC" w14:textId="77777777" w:rsidR="00D27B1B" w:rsidRPr="00D27B1B" w:rsidRDefault="00D27B1B" w:rsidP="00D27B1B">
            <w:pPr>
              <w:rPr>
                <w:lang w:eastAsia="zh-CN"/>
              </w:rPr>
            </w:pPr>
            <w:r w:rsidRPr="00D27B1B">
              <w:rPr>
                <w:lang w:eastAsia="zh-CN"/>
              </w:rPr>
              <w:t>Clinical contributors</w:t>
            </w:r>
          </w:p>
        </w:tc>
        <w:tc>
          <w:tcPr>
            <w:tcW w:w="5665" w:type="dxa"/>
          </w:tcPr>
          <w:p w14:paraId="53D24F17" w14:textId="2D61823D" w:rsidR="00D27B1B" w:rsidRPr="00D27B1B" w:rsidRDefault="00D27B1B">
            <w:pPr>
              <w:rPr>
                <w:lang w:eastAsia="zh-CN"/>
              </w:rPr>
            </w:pPr>
            <w:r w:rsidRPr="00D27B1B">
              <w:rPr>
                <w:lang w:eastAsia="zh-CN"/>
              </w:rPr>
              <w:t xml:space="preserve">This group will have access to all of the data, both clinical and patient-entered, for those participants connected to their centre. A ‘Centre Lead’ will be responsible for the data access governance at each local centre, as per ICH Principle Investigator responsibilities – Good Clinical Practice Training and </w:t>
            </w:r>
            <w:r w:rsidRPr="00D27B1B">
              <w:rPr>
                <w:lang w:eastAsia="zh-CN"/>
              </w:rPr>
              <w:lastRenderedPageBreak/>
              <w:t xml:space="preserve">Certification. </w:t>
            </w:r>
            <w:r w:rsidR="000436B0">
              <w:t>The Society</w:t>
            </w:r>
            <w:r w:rsidR="00DE2560">
              <w:t xml:space="preserve"> will keep a T</w:t>
            </w:r>
            <w:r w:rsidR="000436B0">
              <w:t xml:space="preserve">rial </w:t>
            </w:r>
            <w:r w:rsidR="00DE2560">
              <w:t>M</w:t>
            </w:r>
            <w:r w:rsidR="000436B0">
              <w:t xml:space="preserve">aster </w:t>
            </w:r>
            <w:r w:rsidR="00DE2560">
              <w:t>F</w:t>
            </w:r>
            <w:r w:rsidR="000436B0">
              <w:t>ile</w:t>
            </w:r>
            <w:r w:rsidR="00DE2560">
              <w:t xml:space="preserve"> on each project, which will require scanned copies of delegation logs, GCP cert</w:t>
            </w:r>
            <w:r w:rsidR="000436B0">
              <w:t xml:space="preserve">ificates </w:t>
            </w:r>
            <w:r w:rsidR="00DE2560">
              <w:t>s and CVs.</w:t>
            </w:r>
            <w:r w:rsidRPr="00D27B1B">
              <w:rPr>
                <w:lang w:eastAsia="zh-CN"/>
              </w:rPr>
              <w:t xml:space="preserve"> </w:t>
            </w:r>
          </w:p>
        </w:tc>
      </w:tr>
      <w:tr w:rsidR="00D27B1B" w:rsidRPr="00D27B1B" w14:paraId="36A81893" w14:textId="77777777" w:rsidTr="001F3650">
        <w:tc>
          <w:tcPr>
            <w:tcW w:w="3544" w:type="dxa"/>
          </w:tcPr>
          <w:p w14:paraId="5FE63C68" w14:textId="4EAC732F" w:rsidR="00D27B1B" w:rsidRPr="00D27B1B" w:rsidRDefault="00D27B1B" w:rsidP="00D27B1B">
            <w:pPr>
              <w:rPr>
                <w:lang w:eastAsia="zh-CN"/>
              </w:rPr>
            </w:pPr>
            <w:r w:rsidRPr="00D27B1B">
              <w:rPr>
                <w:lang w:eastAsia="zh-CN"/>
              </w:rPr>
              <w:lastRenderedPageBreak/>
              <w:t>S</w:t>
            </w:r>
            <w:r w:rsidR="006B719E">
              <w:rPr>
                <w:lang w:eastAsia="zh-CN"/>
              </w:rPr>
              <w:t xml:space="preserve">ociety </w:t>
            </w:r>
            <w:r w:rsidR="00290079">
              <w:rPr>
                <w:lang w:eastAsia="zh-CN"/>
              </w:rPr>
              <w:t xml:space="preserve">office </w:t>
            </w:r>
          </w:p>
        </w:tc>
        <w:tc>
          <w:tcPr>
            <w:tcW w:w="5665" w:type="dxa"/>
          </w:tcPr>
          <w:p w14:paraId="1EA8393A" w14:textId="0210E649" w:rsidR="00D27B1B" w:rsidRPr="00D27B1B" w:rsidRDefault="00D27B1B" w:rsidP="00D27B1B">
            <w:pPr>
              <w:rPr>
                <w:lang w:eastAsia="zh-CN"/>
              </w:rPr>
            </w:pPr>
            <w:r w:rsidRPr="00D27B1B">
              <w:rPr>
                <w:lang w:eastAsia="zh-CN"/>
              </w:rPr>
              <w:t>Will have access to all Society Registries pseudo-anonymised data and provide role-based access.</w:t>
            </w:r>
            <w:r w:rsidR="006B719E">
              <w:rPr>
                <w:lang w:eastAsia="zh-CN"/>
              </w:rPr>
              <w:t xml:space="preserve"> If there are data points not explored in the original dataset which the Data Access Request has required then this is at the discretion of the Steering Committee to ask the sites or patients for further information.</w:t>
            </w:r>
          </w:p>
        </w:tc>
      </w:tr>
      <w:tr w:rsidR="00D27B1B" w:rsidRPr="00D27B1B" w14:paraId="2EEF08B3" w14:textId="77777777" w:rsidTr="001F3650">
        <w:tc>
          <w:tcPr>
            <w:tcW w:w="3544" w:type="dxa"/>
          </w:tcPr>
          <w:p w14:paraId="69C38336" w14:textId="77777777" w:rsidR="00D27B1B" w:rsidRPr="00D27B1B" w:rsidRDefault="00D27B1B" w:rsidP="00D27B1B">
            <w:pPr>
              <w:rPr>
                <w:lang w:eastAsia="zh-CN"/>
              </w:rPr>
            </w:pPr>
            <w:r w:rsidRPr="00D27B1B">
              <w:rPr>
                <w:lang w:eastAsia="zh-CN"/>
              </w:rPr>
              <w:t>Investigators &amp; Industry</w:t>
            </w:r>
          </w:p>
        </w:tc>
        <w:tc>
          <w:tcPr>
            <w:tcW w:w="5665" w:type="dxa"/>
          </w:tcPr>
          <w:p w14:paraId="0C8D9738" w14:textId="16A291C8" w:rsidR="00D27B1B" w:rsidRPr="00D27B1B" w:rsidRDefault="00D27B1B" w:rsidP="00D27B1B">
            <w:pPr>
              <w:rPr>
                <w:lang w:eastAsia="zh-CN"/>
              </w:rPr>
            </w:pPr>
            <w:r w:rsidRPr="00D27B1B">
              <w:rPr>
                <w:lang w:eastAsia="zh-CN"/>
              </w:rPr>
              <w:t>Clinicians, Scientists, Researchers, Industry etc will be provided with pseudo-anonymised, mined datasets following approval of their requests by the Steering Committee of the relevant registry</w:t>
            </w:r>
            <w:r w:rsidR="006B719E">
              <w:rPr>
                <w:lang w:eastAsia="zh-CN"/>
              </w:rPr>
              <w:t xml:space="preserve"> for a specified period of time</w:t>
            </w:r>
            <w:r w:rsidR="000436B0">
              <w:rPr>
                <w:lang w:eastAsia="zh-CN"/>
              </w:rPr>
              <w:t xml:space="preserve"> which may consist of one raw data download</w:t>
            </w:r>
            <w:r w:rsidRPr="00D27B1B">
              <w:rPr>
                <w:lang w:eastAsia="zh-CN"/>
              </w:rPr>
              <w:t>.</w:t>
            </w:r>
          </w:p>
        </w:tc>
      </w:tr>
    </w:tbl>
    <w:p w14:paraId="232D8E33" w14:textId="77777777" w:rsidR="00EA0448" w:rsidRPr="00EA0448" w:rsidRDefault="00EA0448" w:rsidP="00EA0448">
      <w:pPr>
        <w:spacing w:after="0"/>
      </w:pPr>
    </w:p>
    <w:p w14:paraId="25B505D5" w14:textId="0D62D23D" w:rsidR="00EA0448" w:rsidRPr="00EA0448" w:rsidRDefault="00EA0448" w:rsidP="00D27B1B">
      <w:r w:rsidRPr="00EA0448">
        <w:t xml:space="preserve">Where a pharmaceutical or medical equipment company is providing funding to the development and ongoing maintenance of a particular registry, under an agreement that anticipates future access to the data collected, the company will be assessed for suitability under the Data Access Policy prior to any funding being accepted. </w:t>
      </w:r>
      <w:r w:rsidR="00290079">
        <w:t xml:space="preserve">Companies will complete a </w:t>
      </w:r>
      <w:r w:rsidR="0066106C">
        <w:t>self</w:t>
      </w:r>
      <w:r w:rsidR="009A559B">
        <w:t>-</w:t>
      </w:r>
      <w:r w:rsidR="0066106C">
        <w:t xml:space="preserve">declaration </w:t>
      </w:r>
      <w:r w:rsidR="00290079">
        <w:t xml:space="preserve">of compliance with </w:t>
      </w:r>
      <w:r w:rsidR="0066106C">
        <w:t>the</w:t>
      </w:r>
      <w:r w:rsidR="00290079">
        <w:t xml:space="preserve"> Society’s</w:t>
      </w:r>
      <w:r w:rsidR="0066106C">
        <w:t xml:space="preserve"> </w:t>
      </w:r>
      <w:r w:rsidR="00111F48">
        <w:t xml:space="preserve">‘working with commercial companies’ </w:t>
      </w:r>
      <w:r w:rsidR="0066106C">
        <w:t>p</w:t>
      </w:r>
      <w:r w:rsidR="0066106C">
        <w:rPr>
          <w:rStyle w:val="ui-provider"/>
        </w:rPr>
        <w:t xml:space="preserve">olicy </w:t>
      </w:r>
      <w:r w:rsidR="00290079">
        <w:t>which is reviewed by the Society’s</w:t>
      </w:r>
      <w:r w:rsidR="006B719E">
        <w:t xml:space="preserve"> Corporate Liaison Committee. </w:t>
      </w:r>
    </w:p>
    <w:p w14:paraId="2CAD84E9" w14:textId="77777777" w:rsidR="00EA0448" w:rsidRPr="00EA0448" w:rsidRDefault="00EA0448" w:rsidP="00D27B1B">
      <w:pPr>
        <w:pStyle w:val="Heading1"/>
      </w:pPr>
      <w:bookmarkStart w:id="10" w:name="_Toc163136973"/>
      <w:r w:rsidRPr="00EA0448">
        <w:t>5.</w:t>
      </w:r>
      <w:r w:rsidRPr="00EA0448">
        <w:tab/>
        <w:t>Protocol Wording</w:t>
      </w:r>
      <w:bookmarkEnd w:id="10"/>
      <w:r w:rsidRPr="00EA0448">
        <w:t xml:space="preserve"> </w:t>
      </w:r>
    </w:p>
    <w:p w14:paraId="17D0B1E5" w14:textId="7F78AF83" w:rsidR="00EA0448" w:rsidRPr="00EA0448" w:rsidRDefault="00EA0448" w:rsidP="00D27B1B">
      <w:r w:rsidRPr="00EA0448">
        <w:t>Direct access will be granted to authorised representatives from the Sponsor (the individual, company, institution or organisation that takes on legal responsibility for the initiation, management and/or financing of the research), regulatory authorities, and host institution to permit trial related monitoring, audits and inspections</w:t>
      </w:r>
      <w:r w:rsidR="00357053">
        <w:t xml:space="preserve"> for a period of time specified by the Steering Committee/Group</w:t>
      </w:r>
      <w:r w:rsidRPr="00EA0448">
        <w:t>. Additional data access will be granted, in the form of a pseudo-anonymised data set, to researchers and industry who submit a Data Request Form. This request form and the author of the form will be scrutinised by the Society for Endocrinology Steering Committee for this data regist</w:t>
      </w:r>
      <w:r w:rsidR="00C86500">
        <w:t>ry</w:t>
      </w:r>
      <w:r w:rsidRPr="00EA0448">
        <w:t xml:space="preserve"> and will only be granted once data compliance documents</w:t>
      </w:r>
      <w:r w:rsidR="006B719E">
        <w:t xml:space="preserve"> (Data Sharing Agreement</w:t>
      </w:r>
      <w:r w:rsidR="0066106C">
        <w:t xml:space="preserve"> and </w:t>
      </w:r>
      <w:r w:rsidR="00357053">
        <w:t xml:space="preserve">the </w:t>
      </w:r>
      <w:r w:rsidR="00111F48">
        <w:t>‘w</w:t>
      </w:r>
      <w:r w:rsidR="0066106C">
        <w:t xml:space="preserve">orking </w:t>
      </w:r>
      <w:r w:rsidR="00111F48">
        <w:t>w</w:t>
      </w:r>
      <w:r w:rsidR="0066106C">
        <w:t xml:space="preserve">ith </w:t>
      </w:r>
      <w:r w:rsidR="00111F48">
        <w:t>c</w:t>
      </w:r>
      <w:r w:rsidR="0066106C">
        <w:t xml:space="preserve">ommercial </w:t>
      </w:r>
      <w:r w:rsidR="00111F48">
        <w:t>c</w:t>
      </w:r>
      <w:r w:rsidR="0066106C">
        <w:t>ompanies</w:t>
      </w:r>
      <w:r w:rsidR="00111F48">
        <w:t>’</w:t>
      </w:r>
      <w:r w:rsidR="00357053">
        <w:t xml:space="preserve"> </w:t>
      </w:r>
      <w:r w:rsidR="00111F48">
        <w:t>p</w:t>
      </w:r>
      <w:r w:rsidR="00357053">
        <w:t>olicy</w:t>
      </w:r>
      <w:r w:rsidR="0066106C">
        <w:t>, if applicable)</w:t>
      </w:r>
      <w:r w:rsidRPr="00EA0448">
        <w:t xml:space="preserve"> are signed by both parties. These data access requests must be for purposes which improve service, medications and/or care for the patients</w:t>
      </w:r>
      <w:r w:rsidR="00BE47FE">
        <w:t xml:space="preserve"> for as long as the data </w:t>
      </w:r>
      <w:r w:rsidR="00D4461C">
        <w:t>are</w:t>
      </w:r>
      <w:r w:rsidR="00BE47FE">
        <w:t xml:space="preserve"> deemed clinically relevant by the Clinical Committee</w:t>
      </w:r>
      <w:r w:rsidRPr="00EA0448">
        <w:t xml:space="preserve">. </w:t>
      </w:r>
    </w:p>
    <w:p w14:paraId="3C454A1A" w14:textId="77777777" w:rsidR="00EA0448" w:rsidRPr="00EA0448" w:rsidRDefault="00EA0448" w:rsidP="00D27B1B">
      <w:pPr>
        <w:pStyle w:val="Heading1"/>
      </w:pPr>
      <w:bookmarkStart w:id="11" w:name="_Toc163136974"/>
      <w:r w:rsidRPr="00EA0448">
        <w:t>6.</w:t>
      </w:r>
      <w:r w:rsidRPr="00EA0448">
        <w:tab/>
        <w:t>Pseudo-Anonymisation of data</w:t>
      </w:r>
      <w:bookmarkEnd w:id="11"/>
    </w:p>
    <w:p w14:paraId="49388BDB" w14:textId="41B51E99" w:rsidR="00EA0448" w:rsidRPr="00EA0448" w:rsidRDefault="00EA0448" w:rsidP="00D27B1B">
      <w:r w:rsidRPr="00EA0448">
        <w:t>Patient</w:t>
      </w:r>
      <w:r w:rsidR="00357053">
        <w:t>-</w:t>
      </w:r>
      <w:r w:rsidR="00F17A63">
        <w:t>c</w:t>
      </w:r>
      <w:r w:rsidRPr="00EA0448">
        <w:t xml:space="preserve">ollected </w:t>
      </w:r>
      <w:r w:rsidR="00357053">
        <w:t>d</w:t>
      </w:r>
      <w:r w:rsidRPr="00EA0448">
        <w:t xml:space="preserve">ata </w:t>
      </w:r>
      <w:r w:rsidR="00357053">
        <w:t>are</w:t>
      </w:r>
      <w:r w:rsidRPr="00EA0448">
        <w:t xml:space="preserve"> inputted directly by the patient into the bespoke registry App. Th</w:t>
      </w:r>
      <w:r w:rsidR="00111F48">
        <w:t>ese</w:t>
      </w:r>
      <w:r w:rsidRPr="00EA0448">
        <w:t xml:space="preserve"> data </w:t>
      </w:r>
      <w:r w:rsidR="00111F48">
        <w:t>are</w:t>
      </w:r>
      <w:r w:rsidRPr="00EA0448">
        <w:t xml:space="preserve"> visible to the patient themselves through the App, and the health care professionals who manage that patient. Patients will be encouraged to add additional, day-to-day information regarding their condition into the App, to help build a broader picture of the impact of clinical interventions</w:t>
      </w:r>
      <w:r w:rsidR="00111F48">
        <w:t>.</w:t>
      </w:r>
      <w:r w:rsidRPr="00EA0448">
        <w:t xml:space="preserve"> </w:t>
      </w:r>
      <w:r w:rsidR="00111F48">
        <w:t>H</w:t>
      </w:r>
      <w:r w:rsidRPr="00EA0448">
        <w:t xml:space="preserve">owever, they will not be able to see the clinical details entered by their </w:t>
      </w:r>
      <w:r w:rsidR="00357053">
        <w:t>h</w:t>
      </w:r>
      <w:r w:rsidRPr="00EA0448">
        <w:t>ealth</w:t>
      </w:r>
      <w:r w:rsidR="00357053">
        <w:t>c</w:t>
      </w:r>
      <w:r w:rsidR="009F22D0">
        <w:t xml:space="preserve">are </w:t>
      </w:r>
      <w:r w:rsidR="00357053">
        <w:t>p</w:t>
      </w:r>
      <w:r w:rsidRPr="00EA0448">
        <w:t>rofessional</w:t>
      </w:r>
      <w:r w:rsidR="009F22D0">
        <w:t xml:space="preserve"> </w:t>
      </w:r>
      <w:r w:rsidRPr="00EA0448">
        <w:t>to avoid the patient self-diag</w:t>
      </w:r>
      <w:r w:rsidR="009F22D0">
        <w:t>nosing, changing behaviours etc</w:t>
      </w:r>
      <w:r w:rsidRPr="00EA0448">
        <w:t xml:space="preserve">.    </w:t>
      </w:r>
    </w:p>
    <w:p w14:paraId="195A242E" w14:textId="3F48BAE2" w:rsidR="00EA0448" w:rsidRPr="00EA0448" w:rsidRDefault="00EA0448" w:rsidP="00D27B1B">
      <w:r w:rsidRPr="00EA0448">
        <w:lastRenderedPageBreak/>
        <w:t>Clinically</w:t>
      </w:r>
      <w:r w:rsidR="00357053">
        <w:t>-c</w:t>
      </w:r>
      <w:r w:rsidRPr="00EA0448">
        <w:t xml:space="preserve">ollected </w:t>
      </w:r>
      <w:r w:rsidR="00357053">
        <w:t>d</w:t>
      </w:r>
      <w:r w:rsidRPr="00EA0448">
        <w:t xml:space="preserve">ata </w:t>
      </w:r>
      <w:r w:rsidR="0066106C">
        <w:t>are</w:t>
      </w:r>
      <w:r w:rsidR="0066106C" w:rsidRPr="00EA0448">
        <w:t xml:space="preserve"> </w:t>
      </w:r>
      <w:r w:rsidRPr="00EA0448">
        <w:t xml:space="preserve">inputted by the </w:t>
      </w:r>
      <w:r w:rsidR="0066106C">
        <w:t xml:space="preserve">Health Care Professional </w:t>
      </w:r>
      <w:r w:rsidRPr="00EA0448">
        <w:t xml:space="preserve">at the participating Trust into the bespoke registry electronic data capture system. The </w:t>
      </w:r>
      <w:r w:rsidR="00357053">
        <w:t>h</w:t>
      </w:r>
      <w:r w:rsidR="0066106C">
        <w:t>ealth</w:t>
      </w:r>
      <w:r w:rsidR="00357053">
        <w:t>c</w:t>
      </w:r>
      <w:r w:rsidR="0066106C">
        <w:t xml:space="preserve">are </w:t>
      </w:r>
      <w:r w:rsidR="00357053">
        <w:t>p</w:t>
      </w:r>
      <w:r w:rsidR="0066106C">
        <w:t>rofessional</w:t>
      </w:r>
      <w:r w:rsidR="0066106C" w:rsidRPr="00EA0448">
        <w:t xml:space="preserve"> </w:t>
      </w:r>
      <w:r w:rsidRPr="00EA0448">
        <w:t xml:space="preserve">can then see their patients’ clinical and patient collected data in the same place. </w:t>
      </w:r>
    </w:p>
    <w:p w14:paraId="322AC776" w14:textId="21C61150" w:rsidR="00EA0448" w:rsidRPr="00EA0448" w:rsidRDefault="00EA0448" w:rsidP="00D27B1B">
      <w:r w:rsidRPr="00EA0448">
        <w:t xml:space="preserve">The </w:t>
      </w:r>
      <w:r w:rsidR="0066106C">
        <w:t xml:space="preserve">Society </w:t>
      </w:r>
      <w:r w:rsidR="00357053">
        <w:t>office</w:t>
      </w:r>
      <w:r w:rsidR="0066106C" w:rsidRPr="00EA0448">
        <w:t xml:space="preserve"> </w:t>
      </w:r>
      <w:r w:rsidRPr="00EA0448">
        <w:t>has access to the data collected from all centres and the patient directly, but only at a pseudo-anonymised level. Only pseudo-anonymised data will be available for access by any other party under the Society Data Access Policy. To reiterate, no-one outside of the patient</w:t>
      </w:r>
      <w:r w:rsidR="00357053">
        <w:t>, the healthcare practitioner assigned to them</w:t>
      </w:r>
      <w:r w:rsidRPr="00EA0448">
        <w:t xml:space="preserve"> and the relevant </w:t>
      </w:r>
      <w:r w:rsidR="0066106C">
        <w:t>Principle Investigator</w:t>
      </w:r>
      <w:r w:rsidR="0066106C" w:rsidRPr="00EA0448">
        <w:t xml:space="preserve"> </w:t>
      </w:r>
      <w:r w:rsidR="00E84FF4">
        <w:t xml:space="preserve">(centre lead) </w:t>
      </w:r>
      <w:r w:rsidRPr="00EA0448">
        <w:t>is able to see non-pseudo-anonymised data for the patients who have consented to participate in the regist</w:t>
      </w:r>
      <w:r w:rsidR="00C86500">
        <w:t>ry</w:t>
      </w:r>
      <w:r w:rsidRPr="00EA0448">
        <w:t xml:space="preserve">. </w:t>
      </w:r>
    </w:p>
    <w:p w14:paraId="2E32D009" w14:textId="63F6212A" w:rsidR="00EA0448" w:rsidRPr="00EA0448" w:rsidRDefault="00EA0448" w:rsidP="00D27B1B">
      <w:r w:rsidRPr="00EA0448">
        <w:t xml:space="preserve">Patients will be made aware of the data protection policy for the App upon signing up to the research project. PeopleWith, the providers of the App platform, are </w:t>
      </w:r>
      <w:r w:rsidR="00C43D4B">
        <w:t xml:space="preserve">verified by </w:t>
      </w:r>
      <w:bookmarkStart w:id="12" w:name="_Hlk164932808"/>
      <w:r w:rsidR="00376AB8">
        <w:t>the Organisation</w:t>
      </w:r>
      <w:r w:rsidR="00BE47FE">
        <w:t xml:space="preserve"> for the Review of Care and Health Apps </w:t>
      </w:r>
      <w:bookmarkEnd w:id="12"/>
      <w:r w:rsidR="00BE47FE">
        <w:t>(</w:t>
      </w:r>
      <w:r w:rsidRPr="00EA0448">
        <w:t>OR</w:t>
      </w:r>
      <w:r w:rsidR="0066106C">
        <w:t>CHA</w:t>
      </w:r>
      <w:r w:rsidR="00BE47FE">
        <w:t>)</w:t>
      </w:r>
      <w:r w:rsidRPr="00EA0448">
        <w:t xml:space="preserve"> and fully</w:t>
      </w:r>
      <w:r w:rsidR="0066106C">
        <w:t xml:space="preserve"> General Data Protection Regulation (</w:t>
      </w:r>
      <w:r w:rsidRPr="00EA0448">
        <w:t>GDPR</w:t>
      </w:r>
      <w:r w:rsidR="0066106C">
        <w:t>)</w:t>
      </w:r>
      <w:r w:rsidRPr="00EA0448">
        <w:t xml:space="preserve"> compliant. A copy of the data security credentials of PeopleWith are available to patients or participating NHS centres on request. </w:t>
      </w:r>
    </w:p>
    <w:p w14:paraId="6E63BEC3" w14:textId="77777777" w:rsidR="00EA0448" w:rsidRPr="00EA0448" w:rsidRDefault="00EA0448" w:rsidP="00D27B1B">
      <w:pPr>
        <w:pStyle w:val="Heading1"/>
      </w:pPr>
      <w:bookmarkStart w:id="13" w:name="_Toc163136975"/>
      <w:r w:rsidRPr="00EA0448">
        <w:t>7.</w:t>
      </w:r>
      <w:r w:rsidRPr="00EA0448">
        <w:tab/>
        <w:t>Data Analysis Tools</w:t>
      </w:r>
      <w:bookmarkEnd w:id="13"/>
    </w:p>
    <w:p w14:paraId="039A2259" w14:textId="7868F183" w:rsidR="00EA0448" w:rsidRPr="00EA0448" w:rsidRDefault="00EA0448" w:rsidP="00D27B1B">
      <w:r w:rsidRPr="00EA0448">
        <w:t xml:space="preserve">In the first instance, access to unembellished registry data will be provided via </w:t>
      </w:r>
      <w:r w:rsidR="0066106C">
        <w:t xml:space="preserve">2 factor authentication </w:t>
      </w:r>
      <w:r w:rsidRPr="00EA0448">
        <w:t>password-managed, bespoke Investigator access rights. A detailed history of individual Investigator data enquiries / downloads will be accessible to the Society</w:t>
      </w:r>
      <w:r w:rsidR="00357053">
        <w:t xml:space="preserve"> office</w:t>
      </w:r>
      <w:r w:rsidRPr="00EA0448">
        <w:t xml:space="preserve"> for control purposes.</w:t>
      </w:r>
    </w:p>
    <w:p w14:paraId="4B246C33" w14:textId="77777777" w:rsidR="00EA0448" w:rsidRPr="00EA0448" w:rsidRDefault="00EA0448" w:rsidP="00D27B1B">
      <w:r w:rsidRPr="00EA0448">
        <w:t>Initially, any statistical analysis of registry data is expected to be performed outside of the registry application. However, discussions with the platform provider, PeopleWith, regarding the feasibility and desirability of embedding statistical analysis software tools into the App will</w:t>
      </w:r>
      <w:r w:rsidR="00D27B1B">
        <w:t xml:space="preserve"> take place in the near future.</w:t>
      </w:r>
    </w:p>
    <w:p w14:paraId="4F57BF63" w14:textId="77777777" w:rsidR="00EA0448" w:rsidRPr="00EA0448" w:rsidRDefault="00EA0448" w:rsidP="00D27B1B">
      <w:r w:rsidRPr="00EA0448">
        <w:t xml:space="preserve">The possibility of enhanced statistical analysis, provided by the Society, as a separate chargeable service, is being currently being considered.       </w:t>
      </w:r>
    </w:p>
    <w:p w14:paraId="74561127" w14:textId="77777777" w:rsidR="00EA0448" w:rsidRPr="00EA0448" w:rsidRDefault="00EA0448" w:rsidP="00D27B1B">
      <w:pPr>
        <w:pStyle w:val="Heading1"/>
      </w:pPr>
      <w:bookmarkStart w:id="14" w:name="_Toc163136976"/>
      <w:r w:rsidRPr="009A032A">
        <w:t>8.</w:t>
      </w:r>
      <w:r w:rsidRPr="009A032A">
        <w:tab/>
        <w:t>Process for Seeking Access to Data</w:t>
      </w:r>
      <w:bookmarkEnd w:id="14"/>
    </w:p>
    <w:p w14:paraId="24DCFD5B" w14:textId="77777777" w:rsidR="00EA0448" w:rsidRPr="004B0D81" w:rsidRDefault="00EA0448" w:rsidP="00855BEE">
      <w:pPr>
        <w:ind w:left="709" w:hanging="709"/>
      </w:pPr>
      <w:r w:rsidRPr="00855BEE">
        <w:t>8.1.</w:t>
      </w:r>
      <w:r w:rsidRPr="004B0D81">
        <w:tab/>
        <w:t>Having re</w:t>
      </w:r>
      <w:r w:rsidR="009F22D0">
        <w:t>ad and understood</w:t>
      </w:r>
      <w:r w:rsidRPr="004B0D81">
        <w:t xml:space="preserve"> the data access requirements set out in this Data Access Policy, the Investigator should complete a Data Request Form (template shown in Appendix 1) – found at </w:t>
      </w:r>
      <w:hyperlink r:id="rId19" w:history="1">
        <w:r w:rsidR="004B0D81" w:rsidRPr="006E468B">
          <w:rPr>
            <w:rStyle w:val="Hyperlink"/>
          </w:rPr>
          <w:t>https://www.endocrinology.org/clinical-practice/data-registries</w:t>
        </w:r>
      </w:hyperlink>
      <w:r w:rsidRPr="004B0D81">
        <w:t>.</w:t>
      </w:r>
    </w:p>
    <w:p w14:paraId="4CF04D05" w14:textId="04A35E85" w:rsidR="00EA0448" w:rsidRPr="004B0D81" w:rsidRDefault="00EA0448" w:rsidP="00855BEE">
      <w:pPr>
        <w:ind w:left="709" w:hanging="709"/>
      </w:pPr>
      <w:r w:rsidRPr="004B0D81">
        <w:t>8.2.</w:t>
      </w:r>
      <w:r w:rsidRPr="004B0D81">
        <w:tab/>
        <w:t xml:space="preserve">The </w:t>
      </w:r>
      <w:r w:rsidR="00F00115">
        <w:t xml:space="preserve">Society </w:t>
      </w:r>
      <w:r w:rsidR="004F10FB">
        <w:t>office</w:t>
      </w:r>
      <w:r w:rsidR="00F00115" w:rsidRPr="004B0D81">
        <w:t xml:space="preserve"> </w:t>
      </w:r>
      <w:r w:rsidRPr="004B0D81">
        <w:t xml:space="preserve">will check that the </w:t>
      </w:r>
      <w:r w:rsidR="00F00115">
        <w:t>Data Request Form</w:t>
      </w:r>
      <w:r w:rsidR="00F00115" w:rsidRPr="004B0D81">
        <w:t xml:space="preserve"> </w:t>
      </w:r>
      <w:r w:rsidRPr="004B0D81">
        <w:t xml:space="preserve">has been completed satisfactorily and forward the document to the nominated </w:t>
      </w:r>
      <w:r w:rsidR="00F00115">
        <w:t>Registry Steering Committee</w:t>
      </w:r>
      <w:r w:rsidR="00F00115" w:rsidRPr="004B0D81">
        <w:t xml:space="preserve"> </w:t>
      </w:r>
      <w:r w:rsidRPr="004B0D81">
        <w:t>for consideration.</w:t>
      </w:r>
    </w:p>
    <w:p w14:paraId="39C7A52A" w14:textId="0A6DC1BA" w:rsidR="00EA0448" w:rsidRPr="004B0D81" w:rsidRDefault="00EA0448" w:rsidP="00855BEE">
      <w:pPr>
        <w:ind w:left="709" w:hanging="709"/>
      </w:pPr>
      <w:r w:rsidRPr="004B0D81">
        <w:t>8.3.</w:t>
      </w:r>
      <w:r w:rsidRPr="004B0D81">
        <w:tab/>
        <w:t xml:space="preserve">All data access requests will be assessed by the </w:t>
      </w:r>
      <w:r w:rsidR="00F00115">
        <w:t>Registry Steering Committee</w:t>
      </w:r>
      <w:r w:rsidR="00F00115" w:rsidRPr="004B0D81">
        <w:t xml:space="preserve"> </w:t>
      </w:r>
      <w:r w:rsidRPr="004B0D81">
        <w:t xml:space="preserve">for compliance with the anticipated use of that registry’s data as submitted to, and approved by, the relevant ethics authority. </w:t>
      </w:r>
    </w:p>
    <w:p w14:paraId="3B1808C3" w14:textId="7F0F87CB" w:rsidR="00EA0448" w:rsidRPr="004B0D81" w:rsidRDefault="00EA0448" w:rsidP="00855BEE">
      <w:pPr>
        <w:ind w:left="709" w:hanging="709"/>
      </w:pPr>
      <w:r w:rsidRPr="004B0D81">
        <w:t>8.4.</w:t>
      </w:r>
      <w:r w:rsidRPr="004B0D81">
        <w:tab/>
        <w:t>If the Investigator is in the medical industry (eg pharmaceuticals, medical equipment etc) the applicatio</w:t>
      </w:r>
      <w:r w:rsidR="002361E5">
        <w:t xml:space="preserve">n </w:t>
      </w:r>
      <w:r w:rsidR="0066106C">
        <w:t xml:space="preserve">will </w:t>
      </w:r>
      <w:r w:rsidR="002361E5">
        <w:t>also be referred to the Sf</w:t>
      </w:r>
      <w:r w:rsidRPr="004B0D81">
        <w:t xml:space="preserve">E Corporate Liaison Committee for </w:t>
      </w:r>
      <w:r w:rsidR="004F10FB">
        <w:t>review</w:t>
      </w:r>
      <w:r w:rsidRPr="004B0D81">
        <w:t xml:space="preserve">. </w:t>
      </w:r>
    </w:p>
    <w:p w14:paraId="2414E5C7" w14:textId="1D52F38B" w:rsidR="00EA0448" w:rsidRPr="004B0D81" w:rsidRDefault="00EA0448" w:rsidP="00855BEE">
      <w:pPr>
        <w:ind w:left="709" w:hanging="709"/>
      </w:pPr>
      <w:r w:rsidRPr="004B0D81">
        <w:t>8.5.</w:t>
      </w:r>
      <w:r w:rsidRPr="004B0D81">
        <w:tab/>
        <w:t xml:space="preserve">In cases where the contents of a new data access application overlap with an existing active application, the Investigators of the two applications will be advised by the </w:t>
      </w:r>
      <w:r w:rsidR="002323E1">
        <w:t>Registry Steering Committee</w:t>
      </w:r>
      <w:r w:rsidR="002323E1" w:rsidRPr="004B0D81">
        <w:t xml:space="preserve"> </w:t>
      </w:r>
      <w:r w:rsidRPr="004B0D81">
        <w:t>to discuss the overlap.</w:t>
      </w:r>
    </w:p>
    <w:p w14:paraId="50BFBAF7" w14:textId="42D7C2DC" w:rsidR="00EA0448" w:rsidRPr="004B0D81" w:rsidRDefault="00EA0448" w:rsidP="00855BEE">
      <w:pPr>
        <w:ind w:left="709" w:hanging="709"/>
      </w:pPr>
      <w:r w:rsidRPr="004B0D81">
        <w:lastRenderedPageBreak/>
        <w:t>8.6.</w:t>
      </w:r>
      <w:r w:rsidRPr="004B0D81">
        <w:tab/>
        <w:t>There will be three approval rounds per year (across all registries) in April, September, and December</w:t>
      </w:r>
      <w:r w:rsidR="0066106C">
        <w:t xml:space="preserve">, unless there are extenuating </w:t>
      </w:r>
      <w:r w:rsidR="00AA7E35">
        <w:t xml:space="preserve">circumstances, which suggest that a data access request requires more urgent consideration. </w:t>
      </w:r>
      <w:r w:rsidR="00AE25C5">
        <w:t>T</w:t>
      </w:r>
      <w:r w:rsidR="0066106C">
        <w:t xml:space="preserve">he </w:t>
      </w:r>
      <w:r w:rsidR="00AE25C5">
        <w:t xml:space="preserve">relevant </w:t>
      </w:r>
      <w:r w:rsidR="0066106C">
        <w:t>Registry Steering Committee w</w:t>
      </w:r>
      <w:r w:rsidR="00AE25C5">
        <w:t xml:space="preserve">ill have discretion over the decision to undertake a more urgent data access review. </w:t>
      </w:r>
    </w:p>
    <w:p w14:paraId="66746DFE" w14:textId="2D442658" w:rsidR="00EA0448" w:rsidRPr="004B0D81" w:rsidRDefault="009F22D0" w:rsidP="00855BEE">
      <w:pPr>
        <w:ind w:left="709" w:hanging="709"/>
      </w:pPr>
      <w:r>
        <w:t>8.7.</w:t>
      </w:r>
      <w:r>
        <w:tab/>
        <w:t xml:space="preserve">The </w:t>
      </w:r>
      <w:r w:rsidR="00F00115">
        <w:t>Registry Steering Committee</w:t>
      </w:r>
      <w:r w:rsidR="00F00115" w:rsidRPr="004B0D81">
        <w:t xml:space="preserve"> </w:t>
      </w:r>
      <w:r w:rsidR="00EA0448" w:rsidRPr="004B0D81">
        <w:t xml:space="preserve">members will consider the data access request individually and return completed feedback forms to the </w:t>
      </w:r>
      <w:r w:rsidR="00F00115">
        <w:t xml:space="preserve">Society </w:t>
      </w:r>
      <w:r w:rsidR="004F10FB">
        <w:t>office</w:t>
      </w:r>
      <w:r w:rsidR="00EA0448" w:rsidRPr="004B0D81">
        <w:t xml:space="preserve">. </w:t>
      </w:r>
    </w:p>
    <w:p w14:paraId="1BACA86E" w14:textId="3D323460" w:rsidR="00EA0448" w:rsidRPr="004B0D81" w:rsidRDefault="00EA0448" w:rsidP="00855BEE">
      <w:pPr>
        <w:ind w:left="709" w:hanging="709"/>
      </w:pPr>
      <w:r w:rsidRPr="004B0D81">
        <w:t>8.8.</w:t>
      </w:r>
      <w:r w:rsidRPr="004B0D81">
        <w:tab/>
        <w:t xml:space="preserve">The </w:t>
      </w:r>
      <w:r w:rsidR="00F00115">
        <w:t xml:space="preserve">Society </w:t>
      </w:r>
      <w:r w:rsidR="004F10FB">
        <w:t>office</w:t>
      </w:r>
      <w:r w:rsidR="00F00115" w:rsidRPr="004B0D81">
        <w:t xml:space="preserve"> </w:t>
      </w:r>
      <w:r w:rsidRPr="004B0D81">
        <w:t xml:space="preserve">collate the feedback, including that from the </w:t>
      </w:r>
      <w:r w:rsidR="00F00115">
        <w:t>Corporate Liaison Committee</w:t>
      </w:r>
      <w:r w:rsidR="00F00115" w:rsidRPr="004B0D81">
        <w:t xml:space="preserve"> </w:t>
      </w:r>
      <w:r w:rsidRPr="004B0D81">
        <w:t xml:space="preserve">where appropriate, and return the collated forms to the Chair of the </w:t>
      </w:r>
      <w:r w:rsidR="00F00115">
        <w:t>Registry Steering Committee</w:t>
      </w:r>
      <w:r w:rsidRPr="004B0D81">
        <w:t>.</w:t>
      </w:r>
    </w:p>
    <w:p w14:paraId="49C640CD" w14:textId="4808F3A5" w:rsidR="00EA0448" w:rsidRPr="004B0D81" w:rsidRDefault="00EA0448" w:rsidP="00855BEE">
      <w:pPr>
        <w:ind w:left="709" w:hanging="709"/>
      </w:pPr>
      <w:r w:rsidRPr="004B0D81">
        <w:t>8.9.</w:t>
      </w:r>
      <w:r w:rsidRPr="004B0D81">
        <w:tab/>
        <w:t xml:space="preserve">If additional information in support of the data access request is requested by the </w:t>
      </w:r>
      <w:r w:rsidR="00F00115">
        <w:t>Registry Steering Committee</w:t>
      </w:r>
      <w:r w:rsidR="00F00115" w:rsidRPr="004B0D81">
        <w:t xml:space="preserve"> </w:t>
      </w:r>
      <w:r w:rsidRPr="004B0D81">
        <w:t xml:space="preserve">they will inform the </w:t>
      </w:r>
      <w:r w:rsidR="00F00115">
        <w:t xml:space="preserve">Society </w:t>
      </w:r>
      <w:r w:rsidR="004F10FB">
        <w:t>office</w:t>
      </w:r>
      <w:r w:rsidRPr="004B0D81">
        <w:t xml:space="preserve">, who will request the information from the Investigator. When the additional details are received, the </w:t>
      </w:r>
      <w:r w:rsidR="00F00115">
        <w:t xml:space="preserve">Society </w:t>
      </w:r>
      <w:r w:rsidR="004F10FB">
        <w:t>office</w:t>
      </w:r>
      <w:r w:rsidR="00F00115" w:rsidRPr="004B0D81">
        <w:t xml:space="preserve"> </w:t>
      </w:r>
      <w:r w:rsidRPr="004B0D81">
        <w:t xml:space="preserve">will pass this information to the </w:t>
      </w:r>
      <w:r w:rsidR="00F00115">
        <w:t>Registry Steering Committee</w:t>
      </w:r>
      <w:r w:rsidRPr="004B0D81">
        <w:t>.</w:t>
      </w:r>
    </w:p>
    <w:p w14:paraId="55B0E531" w14:textId="15D5A814" w:rsidR="00EA0448" w:rsidRPr="004B0D81" w:rsidRDefault="00EA0448" w:rsidP="00855BEE">
      <w:pPr>
        <w:ind w:left="709" w:hanging="709"/>
      </w:pPr>
      <w:r w:rsidRPr="004B0D81">
        <w:t>8.10.</w:t>
      </w:r>
      <w:r w:rsidRPr="004B0D81">
        <w:tab/>
        <w:t xml:space="preserve">Once the </w:t>
      </w:r>
      <w:r w:rsidR="00F00115">
        <w:t>Registry Steering Committee</w:t>
      </w:r>
      <w:r w:rsidR="00F00115" w:rsidRPr="004B0D81">
        <w:t xml:space="preserve"> </w:t>
      </w:r>
      <w:r w:rsidRPr="004B0D81">
        <w:t xml:space="preserve">have made their decision regarding a data access request, feedback will be provided to </w:t>
      </w:r>
      <w:r w:rsidR="00376AB8" w:rsidRPr="004B0D81">
        <w:t>the Investigator</w:t>
      </w:r>
      <w:r w:rsidR="00F00115">
        <w:t xml:space="preserve">, within </w:t>
      </w:r>
      <w:r w:rsidR="004F10FB">
        <w:t>four</w:t>
      </w:r>
      <w:r w:rsidR="00F00115">
        <w:t xml:space="preserve"> weeks of the application being reviewed</w:t>
      </w:r>
    </w:p>
    <w:p w14:paraId="7E557824" w14:textId="77777777" w:rsidR="00EA0448" w:rsidRPr="004B0D81" w:rsidRDefault="00EA0448" w:rsidP="00855BEE">
      <w:pPr>
        <w:ind w:left="709" w:hanging="709"/>
      </w:pPr>
      <w:r w:rsidRPr="004B0D81">
        <w:t>8.11.</w:t>
      </w:r>
      <w:r w:rsidRPr="004B0D81">
        <w:tab/>
        <w:t xml:space="preserve">If the application for access has been successful, the Investigator will be sent a Data Sharing Agreement (DSA) – </w:t>
      </w:r>
      <w:r w:rsidR="009F22D0">
        <w:t xml:space="preserve">a </w:t>
      </w:r>
      <w:r w:rsidRPr="004B0D81">
        <w:t xml:space="preserve">template for which is shown in Appendix 2 - to sign before any access is granted.  </w:t>
      </w:r>
    </w:p>
    <w:p w14:paraId="2FEEFA22" w14:textId="21DA2488" w:rsidR="00EA0448" w:rsidRPr="004B0D81" w:rsidRDefault="00EA0448" w:rsidP="00855BEE">
      <w:pPr>
        <w:ind w:left="709" w:hanging="709"/>
      </w:pPr>
      <w:r w:rsidRPr="004B0D81">
        <w:t>8.12.</w:t>
      </w:r>
      <w:r w:rsidRPr="004B0D81">
        <w:tab/>
        <w:t xml:space="preserve">The </w:t>
      </w:r>
      <w:r w:rsidR="00F00115">
        <w:t xml:space="preserve">Society </w:t>
      </w:r>
      <w:r w:rsidR="004F10FB">
        <w:t>office</w:t>
      </w:r>
      <w:r w:rsidR="00F00115" w:rsidRPr="004B0D81">
        <w:t xml:space="preserve"> </w:t>
      </w:r>
      <w:r w:rsidRPr="004B0D81">
        <w:t>will be responsible for mining the data covered by the data request and providing access to the data via a secure portal.</w:t>
      </w:r>
    </w:p>
    <w:p w14:paraId="7DFECA55" w14:textId="5BDFD974" w:rsidR="00EA0448" w:rsidRPr="004B0D81" w:rsidRDefault="00EA0448" w:rsidP="00855BEE">
      <w:pPr>
        <w:ind w:left="709" w:hanging="709"/>
      </w:pPr>
      <w:r w:rsidRPr="004B0D81">
        <w:t>8.13.</w:t>
      </w:r>
      <w:r w:rsidRPr="004B0D81">
        <w:tab/>
        <w:t xml:space="preserve">The </w:t>
      </w:r>
      <w:r w:rsidR="00F00115">
        <w:t xml:space="preserve">Society </w:t>
      </w:r>
      <w:r w:rsidR="004F10FB">
        <w:t>office</w:t>
      </w:r>
      <w:r w:rsidR="00F00115" w:rsidRPr="004B0D81">
        <w:t xml:space="preserve"> </w:t>
      </w:r>
      <w:r w:rsidRPr="004B0D81">
        <w:t>will maintain a log of activity for each user granted access to registry data.</w:t>
      </w:r>
    </w:p>
    <w:p w14:paraId="32A512DE" w14:textId="77777777" w:rsidR="00EA0448" w:rsidRPr="00EA0448" w:rsidRDefault="00EA0448" w:rsidP="004B0D81">
      <w:pPr>
        <w:pStyle w:val="Heading1"/>
      </w:pPr>
      <w:bookmarkStart w:id="15" w:name="_Toc163136977"/>
      <w:r w:rsidRPr="00EA0448">
        <w:t>9.</w:t>
      </w:r>
      <w:r w:rsidRPr="00EA0448">
        <w:tab/>
        <w:t>Dissemination of Data Analysis Activity</w:t>
      </w:r>
      <w:bookmarkEnd w:id="15"/>
    </w:p>
    <w:p w14:paraId="01D1AF63" w14:textId="77777777" w:rsidR="00EA0448" w:rsidRPr="00EA0448" w:rsidRDefault="00EA0448" w:rsidP="004B0D81">
      <w:r w:rsidRPr="00EA0448">
        <w:t>Details of all approved requests for data access, including brief details of the intended use of the data, will be posted on the relevant regist</w:t>
      </w:r>
      <w:r w:rsidR="00C86500">
        <w:t>ry</w:t>
      </w:r>
      <w:r w:rsidRPr="00EA0448">
        <w:t xml:space="preserve"> website.</w:t>
      </w:r>
    </w:p>
    <w:p w14:paraId="6442092F" w14:textId="78E05DE3" w:rsidR="00EA0448" w:rsidRPr="00EA0448" w:rsidRDefault="00EA0448" w:rsidP="004B0D81">
      <w:r w:rsidRPr="00EA0448">
        <w:t>Annual reports for all research activity using the registry data will be obtained from Investigators and a lay summary posted on the website</w:t>
      </w:r>
      <w:r w:rsidR="0074760D">
        <w:t>.</w:t>
      </w:r>
      <w:r w:rsidR="004F10FB">
        <w:t xml:space="preserve"> If the Investigator </w:t>
      </w:r>
      <w:r w:rsidR="0074760D">
        <w:t xml:space="preserve">anticipates that </w:t>
      </w:r>
      <w:r w:rsidR="004F10FB">
        <w:t>this</w:t>
      </w:r>
      <w:r w:rsidR="00F00115">
        <w:t xml:space="preserve"> </w:t>
      </w:r>
      <w:r w:rsidR="0074760D">
        <w:t>may</w:t>
      </w:r>
      <w:r w:rsidR="00F00115">
        <w:t xml:space="preserve"> not </w:t>
      </w:r>
      <w:r w:rsidR="0074760D">
        <w:t xml:space="preserve">be </w:t>
      </w:r>
      <w:r w:rsidR="00F00115">
        <w:t>appropriate</w:t>
      </w:r>
      <w:r w:rsidR="004F10FB">
        <w:t>,</w:t>
      </w:r>
      <w:r w:rsidR="00F00115">
        <w:t xml:space="preserve"> </w:t>
      </w:r>
      <w:r w:rsidR="0074760D">
        <w:t xml:space="preserve">for commercial or scientific reasons, </w:t>
      </w:r>
      <w:r w:rsidR="00F00115">
        <w:t xml:space="preserve">this </w:t>
      </w:r>
      <w:r w:rsidR="008D5989">
        <w:t>should</w:t>
      </w:r>
      <w:r w:rsidR="00F00115">
        <w:t xml:space="preserve"> be detailed in the Data Request Form</w:t>
      </w:r>
      <w:r w:rsidRPr="00EA0448">
        <w:t xml:space="preserve">. </w:t>
      </w:r>
    </w:p>
    <w:p w14:paraId="54672DF6" w14:textId="77777777" w:rsidR="00C75098" w:rsidRDefault="00EA0448" w:rsidP="00C75098">
      <w:pPr>
        <w:sectPr w:rsidR="00C75098" w:rsidSect="001D7FB5">
          <w:pgSz w:w="11900" w:h="16840"/>
          <w:pgMar w:top="1247" w:right="561" w:bottom="1276" w:left="1361" w:header="709" w:footer="437" w:gutter="0"/>
          <w:cols w:space="708"/>
          <w:docGrid w:linePitch="326"/>
        </w:sectPr>
      </w:pPr>
      <w:r w:rsidRPr="00EA0448">
        <w:t>Acknowledgements and attribution of any publications should follow the conditions in Section 5 of the D</w:t>
      </w:r>
      <w:r w:rsidR="003C38C9">
        <w:t>AP</w:t>
      </w:r>
      <w:r w:rsidRPr="00EA0448">
        <w:t>.</w:t>
      </w:r>
    </w:p>
    <w:p w14:paraId="155B17B4" w14:textId="527EC905" w:rsidR="004B0D81" w:rsidRDefault="009A032A" w:rsidP="00C75098">
      <w:pPr>
        <w:pStyle w:val="Heading1"/>
      </w:pPr>
      <w:bookmarkStart w:id="16" w:name="_Toc163136978"/>
      <w:r>
        <w:lastRenderedPageBreak/>
        <w:t>Appendix 1</w:t>
      </w:r>
      <w:r w:rsidR="00C834A2">
        <w:t xml:space="preserve"> – Registries Data Request Form</w:t>
      </w:r>
      <w:bookmarkEnd w:id="16"/>
    </w:p>
    <w:p w14:paraId="62A905FE" w14:textId="77777777" w:rsidR="00C834A2" w:rsidRDefault="00C834A2" w:rsidP="00C834A2">
      <w:r w:rsidRPr="00C834A2">
        <w:t>Before completing this form please check you have read and considered t</w:t>
      </w:r>
      <w:r w:rsidR="002361E5">
        <w:t>he Society for Endocrinology (Sf</w:t>
      </w:r>
      <w:r w:rsidRPr="00C834A2">
        <w:t>E) Registries Data Access Policy</w:t>
      </w:r>
      <w:r w:rsidR="00203A8C">
        <w:t xml:space="preserve">. </w:t>
      </w:r>
    </w:p>
    <w:tbl>
      <w:tblPr>
        <w:tblStyle w:val="TableGrid"/>
        <w:tblW w:w="9968" w:type="dxa"/>
        <w:tblLook w:val="04A0" w:firstRow="1" w:lastRow="0" w:firstColumn="1" w:lastColumn="0" w:noHBand="0" w:noVBand="1"/>
      </w:tblPr>
      <w:tblGrid>
        <w:gridCol w:w="546"/>
        <w:gridCol w:w="4552"/>
        <w:gridCol w:w="567"/>
        <w:gridCol w:w="4303"/>
      </w:tblGrid>
      <w:tr w:rsidR="009F7CC3" w14:paraId="7A86BCDD" w14:textId="77777777" w:rsidTr="009A559B">
        <w:tc>
          <w:tcPr>
            <w:tcW w:w="546" w:type="dxa"/>
          </w:tcPr>
          <w:p w14:paraId="0957C48F" w14:textId="77777777" w:rsidR="009F7CC3" w:rsidRDefault="009F7CC3" w:rsidP="00C86500">
            <w:pPr>
              <w:spacing w:after="120"/>
            </w:pPr>
            <w:r>
              <w:t>1.</w:t>
            </w:r>
          </w:p>
        </w:tc>
        <w:tc>
          <w:tcPr>
            <w:tcW w:w="4552" w:type="dxa"/>
            <w:tcBorders>
              <w:right w:val="single" w:sz="4" w:space="0" w:color="auto"/>
            </w:tcBorders>
          </w:tcPr>
          <w:p w14:paraId="071C48EA" w14:textId="77777777" w:rsidR="009F7CC3" w:rsidRDefault="009F7CC3" w:rsidP="00C86500">
            <w:pPr>
              <w:spacing w:after="120"/>
            </w:pPr>
            <w:r>
              <w:t>Which Sf</w:t>
            </w:r>
            <w:r w:rsidRPr="00C75098">
              <w:t>E Data Registry are you applying for access to data from?</w:t>
            </w:r>
          </w:p>
        </w:tc>
        <w:tc>
          <w:tcPr>
            <w:tcW w:w="567" w:type="dxa"/>
            <w:tcBorders>
              <w:top w:val="single" w:sz="4" w:space="0" w:color="auto"/>
              <w:left w:val="single" w:sz="4" w:space="0" w:color="auto"/>
              <w:bottom w:val="single" w:sz="4" w:space="0" w:color="auto"/>
              <w:right w:val="nil"/>
            </w:tcBorders>
          </w:tcPr>
          <w:p w14:paraId="6325FDDD"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438904B7" w14:textId="77777777" w:rsidR="009F7CC3" w:rsidRDefault="009F7CC3" w:rsidP="00C86500">
            <w:pPr>
              <w:spacing w:after="120"/>
            </w:pPr>
          </w:p>
        </w:tc>
      </w:tr>
      <w:tr w:rsidR="009F7CC3" w14:paraId="503B8DBD" w14:textId="77777777" w:rsidTr="009A559B">
        <w:tc>
          <w:tcPr>
            <w:tcW w:w="546" w:type="dxa"/>
          </w:tcPr>
          <w:p w14:paraId="1E086911" w14:textId="77777777" w:rsidR="009F7CC3" w:rsidRDefault="009F7CC3" w:rsidP="00C86500">
            <w:pPr>
              <w:spacing w:after="120"/>
            </w:pPr>
            <w:r>
              <w:t>2.</w:t>
            </w:r>
          </w:p>
        </w:tc>
        <w:tc>
          <w:tcPr>
            <w:tcW w:w="4552" w:type="dxa"/>
            <w:tcBorders>
              <w:right w:val="single" w:sz="4" w:space="0" w:color="auto"/>
            </w:tcBorders>
          </w:tcPr>
          <w:p w14:paraId="43B3718A" w14:textId="5162D007" w:rsidR="009F7CC3" w:rsidRDefault="009F7CC3" w:rsidP="00C86500">
            <w:pPr>
              <w:spacing w:after="120"/>
            </w:pPr>
            <w:r w:rsidRPr="00C75098">
              <w:t xml:space="preserve">Details of Principal Investigator (name institution name &amp; address &amp; </w:t>
            </w:r>
            <w:r>
              <w:t xml:space="preserve">Institutional </w:t>
            </w:r>
            <w:r w:rsidRPr="00C75098">
              <w:t>e-mail address)</w:t>
            </w:r>
            <w:r w:rsidR="00BE47FE">
              <w:t xml:space="preserve"> &amp;</w:t>
            </w:r>
            <w:r w:rsidR="00C43D4B">
              <w:t xml:space="preserve"> </w:t>
            </w:r>
            <w:r w:rsidR="00BE47FE">
              <w:t>SfE membership number (if applicable)</w:t>
            </w:r>
          </w:p>
        </w:tc>
        <w:tc>
          <w:tcPr>
            <w:tcW w:w="567" w:type="dxa"/>
            <w:tcBorders>
              <w:top w:val="single" w:sz="4" w:space="0" w:color="auto"/>
              <w:left w:val="single" w:sz="4" w:space="0" w:color="auto"/>
              <w:bottom w:val="single" w:sz="4" w:space="0" w:color="auto"/>
              <w:right w:val="nil"/>
            </w:tcBorders>
          </w:tcPr>
          <w:p w14:paraId="56179618"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1E60430" w14:textId="77777777" w:rsidR="009F7CC3" w:rsidRDefault="009F7CC3" w:rsidP="00C86500">
            <w:pPr>
              <w:spacing w:after="120"/>
            </w:pPr>
          </w:p>
        </w:tc>
      </w:tr>
      <w:tr w:rsidR="009F7CC3" w14:paraId="74435EAD" w14:textId="77777777" w:rsidTr="009A559B">
        <w:tc>
          <w:tcPr>
            <w:tcW w:w="546" w:type="dxa"/>
          </w:tcPr>
          <w:p w14:paraId="17B95F82" w14:textId="77777777" w:rsidR="009F7CC3" w:rsidRDefault="009F7CC3" w:rsidP="00C86500">
            <w:pPr>
              <w:spacing w:after="120"/>
            </w:pPr>
            <w:r>
              <w:t>3.</w:t>
            </w:r>
          </w:p>
        </w:tc>
        <w:tc>
          <w:tcPr>
            <w:tcW w:w="4552" w:type="dxa"/>
            <w:tcBorders>
              <w:right w:val="single" w:sz="4" w:space="0" w:color="auto"/>
            </w:tcBorders>
          </w:tcPr>
          <w:p w14:paraId="3D91BB85" w14:textId="70BB5DD3" w:rsidR="009F7CC3" w:rsidRDefault="009F7CC3" w:rsidP="00C86500">
            <w:pPr>
              <w:spacing w:after="120"/>
            </w:pPr>
            <w:r w:rsidRPr="00C75098">
              <w:t xml:space="preserve">Details of Coinvestigator(s) (name,  institution &amp; </w:t>
            </w:r>
            <w:r>
              <w:t xml:space="preserve">Institutional </w:t>
            </w:r>
            <w:r w:rsidRPr="00C75098">
              <w:t>e-mail address)</w:t>
            </w:r>
          </w:p>
        </w:tc>
        <w:tc>
          <w:tcPr>
            <w:tcW w:w="567" w:type="dxa"/>
            <w:tcBorders>
              <w:top w:val="single" w:sz="4" w:space="0" w:color="auto"/>
              <w:left w:val="single" w:sz="4" w:space="0" w:color="auto"/>
              <w:bottom w:val="single" w:sz="4" w:space="0" w:color="auto"/>
              <w:right w:val="nil"/>
            </w:tcBorders>
          </w:tcPr>
          <w:p w14:paraId="1AD3A720"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44BF26E1" w14:textId="77777777" w:rsidR="009F7CC3" w:rsidRDefault="009F7CC3" w:rsidP="00C86500">
            <w:pPr>
              <w:spacing w:after="120"/>
            </w:pPr>
          </w:p>
        </w:tc>
      </w:tr>
      <w:tr w:rsidR="009F7CC3" w14:paraId="1FB8FE25" w14:textId="77777777" w:rsidTr="009A559B">
        <w:tc>
          <w:tcPr>
            <w:tcW w:w="546" w:type="dxa"/>
          </w:tcPr>
          <w:p w14:paraId="579403FD" w14:textId="77777777" w:rsidR="009F7CC3" w:rsidRDefault="009F7CC3" w:rsidP="00C86500">
            <w:pPr>
              <w:spacing w:after="120"/>
            </w:pPr>
            <w:r>
              <w:t>4.</w:t>
            </w:r>
          </w:p>
        </w:tc>
        <w:tc>
          <w:tcPr>
            <w:tcW w:w="4552" w:type="dxa"/>
            <w:tcBorders>
              <w:right w:val="single" w:sz="4" w:space="0" w:color="auto"/>
            </w:tcBorders>
          </w:tcPr>
          <w:p w14:paraId="6469E563" w14:textId="77777777" w:rsidR="009F7CC3" w:rsidRDefault="009F7CC3" w:rsidP="00C86500">
            <w:pPr>
              <w:spacing w:after="120"/>
            </w:pPr>
            <w:r w:rsidRPr="00C75098">
              <w:t>Full Name of Project</w:t>
            </w:r>
          </w:p>
        </w:tc>
        <w:tc>
          <w:tcPr>
            <w:tcW w:w="567" w:type="dxa"/>
            <w:tcBorders>
              <w:top w:val="single" w:sz="4" w:space="0" w:color="auto"/>
              <w:left w:val="single" w:sz="4" w:space="0" w:color="auto"/>
              <w:bottom w:val="single" w:sz="4" w:space="0" w:color="auto"/>
              <w:right w:val="nil"/>
            </w:tcBorders>
          </w:tcPr>
          <w:p w14:paraId="4D91F70F"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73BFCA18" w14:textId="77777777" w:rsidR="009F7CC3" w:rsidRDefault="009F7CC3" w:rsidP="00C86500">
            <w:pPr>
              <w:spacing w:after="120"/>
            </w:pPr>
          </w:p>
        </w:tc>
      </w:tr>
      <w:tr w:rsidR="009F7CC3" w14:paraId="3576CE78" w14:textId="77777777" w:rsidTr="009A559B">
        <w:tc>
          <w:tcPr>
            <w:tcW w:w="546" w:type="dxa"/>
          </w:tcPr>
          <w:p w14:paraId="16FA9BD9" w14:textId="77777777" w:rsidR="009F7CC3" w:rsidRDefault="009F7CC3" w:rsidP="00C86500">
            <w:pPr>
              <w:spacing w:after="120"/>
            </w:pPr>
            <w:r>
              <w:t>5.</w:t>
            </w:r>
          </w:p>
        </w:tc>
        <w:tc>
          <w:tcPr>
            <w:tcW w:w="4552" w:type="dxa"/>
            <w:tcBorders>
              <w:right w:val="single" w:sz="4" w:space="0" w:color="auto"/>
            </w:tcBorders>
          </w:tcPr>
          <w:p w14:paraId="27399579" w14:textId="0467050A" w:rsidR="009F7CC3" w:rsidRDefault="009F7CC3" w:rsidP="00C86500">
            <w:pPr>
              <w:spacing w:after="120"/>
            </w:pPr>
            <w:r w:rsidRPr="00C75098">
              <w:t>Short Name of Project for Communication purposes</w:t>
            </w:r>
            <w:r>
              <w:t>, if appropriate</w:t>
            </w:r>
          </w:p>
        </w:tc>
        <w:tc>
          <w:tcPr>
            <w:tcW w:w="567" w:type="dxa"/>
            <w:tcBorders>
              <w:top w:val="single" w:sz="4" w:space="0" w:color="auto"/>
              <w:left w:val="single" w:sz="4" w:space="0" w:color="auto"/>
              <w:bottom w:val="single" w:sz="4" w:space="0" w:color="auto"/>
              <w:right w:val="nil"/>
            </w:tcBorders>
          </w:tcPr>
          <w:p w14:paraId="6727FAED"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03D24A3E" w14:textId="77777777" w:rsidR="009F7CC3" w:rsidRDefault="009F7CC3" w:rsidP="00C86500">
            <w:pPr>
              <w:spacing w:after="120"/>
            </w:pPr>
          </w:p>
        </w:tc>
      </w:tr>
      <w:tr w:rsidR="009F7CC3" w14:paraId="75E397BB" w14:textId="77777777" w:rsidTr="009A559B">
        <w:tc>
          <w:tcPr>
            <w:tcW w:w="546" w:type="dxa"/>
          </w:tcPr>
          <w:p w14:paraId="29DB8FF0" w14:textId="77777777" w:rsidR="009F7CC3" w:rsidRDefault="009F7CC3" w:rsidP="00C86500">
            <w:pPr>
              <w:spacing w:after="120"/>
            </w:pPr>
            <w:r>
              <w:t>6.</w:t>
            </w:r>
          </w:p>
        </w:tc>
        <w:tc>
          <w:tcPr>
            <w:tcW w:w="4552" w:type="dxa"/>
            <w:tcBorders>
              <w:right w:val="single" w:sz="4" w:space="0" w:color="auto"/>
            </w:tcBorders>
          </w:tcPr>
          <w:p w14:paraId="672DA275" w14:textId="77777777" w:rsidR="009F7CC3" w:rsidRDefault="009F7CC3" w:rsidP="00C86500">
            <w:pPr>
              <w:spacing w:after="120"/>
            </w:pPr>
            <w:r w:rsidRPr="00FB7D3E">
              <w:t>This application has been discuss</w:t>
            </w:r>
            <w:r>
              <w:t>ed with all the coinvestigators</w:t>
            </w:r>
          </w:p>
          <w:p w14:paraId="5CBE4C27" w14:textId="77777777" w:rsidR="009F7CC3" w:rsidRDefault="009F7CC3" w:rsidP="00C86500">
            <w:pPr>
              <w:spacing w:after="120"/>
            </w:pPr>
            <w:r w:rsidRPr="00FB7D3E">
              <w:t>(notification</w:t>
            </w:r>
            <w:r>
              <w:t xml:space="preserve"> </w:t>
            </w:r>
            <w:r w:rsidRPr="00FB7D3E">
              <w:t>of approval of this application will be sent to all coinvestigators)</w:t>
            </w:r>
          </w:p>
        </w:tc>
        <w:tc>
          <w:tcPr>
            <w:tcW w:w="567" w:type="dxa"/>
            <w:tcBorders>
              <w:top w:val="single" w:sz="4" w:space="0" w:color="auto"/>
              <w:left w:val="single" w:sz="4" w:space="0" w:color="auto"/>
              <w:bottom w:val="single" w:sz="4" w:space="0" w:color="auto"/>
              <w:right w:val="nil"/>
            </w:tcBorders>
          </w:tcPr>
          <w:sdt>
            <w:sdtPr>
              <w:id w:val="2081016875"/>
              <w14:checkbox>
                <w14:checked w14:val="0"/>
                <w14:checkedState w14:val="2612" w14:font="MS Gothic"/>
                <w14:uncheckedState w14:val="2610" w14:font="MS Gothic"/>
              </w14:checkbox>
            </w:sdtPr>
            <w:sdtEndPr/>
            <w:sdtContent>
              <w:p w14:paraId="0B7C525B" w14:textId="77777777" w:rsidR="009F7CC3" w:rsidRDefault="009F7CC3" w:rsidP="00C86500">
                <w:pPr>
                  <w:spacing w:after="120"/>
                </w:pPr>
                <w:r>
                  <w:rPr>
                    <w:rFonts w:ascii="MS Gothic" w:eastAsia="MS Gothic" w:hAnsi="MS Gothic" w:hint="eastAsia"/>
                  </w:rPr>
                  <w:t>☐</w:t>
                </w:r>
              </w:p>
            </w:sdtContent>
          </w:sdt>
          <w:sdt>
            <w:sdtPr>
              <w:id w:val="-387490802"/>
              <w14:checkbox>
                <w14:checked w14:val="0"/>
                <w14:checkedState w14:val="2612" w14:font="MS Gothic"/>
                <w14:uncheckedState w14:val="2610" w14:font="MS Gothic"/>
              </w14:checkbox>
            </w:sdtPr>
            <w:sdtEndPr/>
            <w:sdtContent>
              <w:p w14:paraId="3B702CE6" w14:textId="77777777" w:rsidR="009F7CC3" w:rsidRDefault="009F7CC3" w:rsidP="00C86500">
                <w:pPr>
                  <w:spacing w:after="120"/>
                </w:pPr>
                <w:r>
                  <w:rPr>
                    <w:rFonts w:ascii="MS Gothic" w:eastAsia="MS Gothic" w:hAnsi="MS Gothic" w:hint="eastAsia"/>
                  </w:rPr>
                  <w:t>☐</w:t>
                </w:r>
              </w:p>
            </w:sdtContent>
          </w:sdt>
        </w:tc>
        <w:tc>
          <w:tcPr>
            <w:tcW w:w="4303" w:type="dxa"/>
            <w:tcBorders>
              <w:top w:val="single" w:sz="4" w:space="0" w:color="auto"/>
              <w:left w:val="nil"/>
              <w:bottom w:val="single" w:sz="4" w:space="0" w:color="auto"/>
              <w:right w:val="single" w:sz="4" w:space="0" w:color="auto"/>
            </w:tcBorders>
          </w:tcPr>
          <w:p w14:paraId="5977441A" w14:textId="77777777" w:rsidR="009F7CC3" w:rsidRDefault="009F7CC3" w:rsidP="00C86500">
            <w:pPr>
              <w:spacing w:after="120"/>
            </w:pPr>
            <w:r>
              <w:t>Yes</w:t>
            </w:r>
          </w:p>
          <w:p w14:paraId="4F7C7D66" w14:textId="77777777" w:rsidR="009F7CC3" w:rsidRDefault="009F7CC3" w:rsidP="00C86500">
            <w:pPr>
              <w:spacing w:after="120"/>
            </w:pPr>
            <w:r>
              <w:t>No</w:t>
            </w:r>
          </w:p>
        </w:tc>
      </w:tr>
      <w:tr w:rsidR="009F7CC3" w14:paraId="0583EF4E" w14:textId="77777777" w:rsidTr="009A559B">
        <w:tc>
          <w:tcPr>
            <w:tcW w:w="546" w:type="dxa"/>
            <w:vMerge w:val="restart"/>
          </w:tcPr>
          <w:p w14:paraId="3740CD6E" w14:textId="77777777" w:rsidR="009F7CC3" w:rsidRDefault="009F7CC3" w:rsidP="00C86500">
            <w:pPr>
              <w:spacing w:after="120"/>
            </w:pPr>
            <w:r>
              <w:t>7.</w:t>
            </w:r>
          </w:p>
        </w:tc>
        <w:tc>
          <w:tcPr>
            <w:tcW w:w="4552" w:type="dxa"/>
            <w:vMerge w:val="restart"/>
            <w:tcBorders>
              <w:right w:val="single" w:sz="4" w:space="0" w:color="auto"/>
            </w:tcBorders>
          </w:tcPr>
          <w:p w14:paraId="4C15CF66" w14:textId="77777777" w:rsidR="009F7CC3" w:rsidRDefault="009F7CC3" w:rsidP="00C86500">
            <w:pPr>
              <w:spacing w:after="120"/>
            </w:pPr>
            <w:r w:rsidRPr="00C75098">
              <w:t>What are the main reasons for re</w:t>
            </w:r>
            <w:r>
              <w:t>questing data access from the Sf</w:t>
            </w:r>
            <w:r w:rsidRPr="00C75098">
              <w:t>E Registries?</w:t>
            </w:r>
          </w:p>
        </w:tc>
        <w:tc>
          <w:tcPr>
            <w:tcW w:w="567" w:type="dxa"/>
            <w:tcBorders>
              <w:top w:val="single" w:sz="4" w:space="0" w:color="auto"/>
              <w:left w:val="single" w:sz="4" w:space="0" w:color="auto"/>
              <w:bottom w:val="nil"/>
              <w:right w:val="nil"/>
            </w:tcBorders>
          </w:tcPr>
          <w:sdt>
            <w:sdtPr>
              <w:id w:val="985975021"/>
              <w14:checkbox>
                <w14:checked w14:val="0"/>
                <w14:checkedState w14:val="2612" w14:font="MS Gothic"/>
                <w14:uncheckedState w14:val="2610" w14:font="MS Gothic"/>
              </w14:checkbox>
            </w:sdtPr>
            <w:sdtEndPr/>
            <w:sdtContent>
              <w:p w14:paraId="7BC25F1B" w14:textId="77777777" w:rsidR="009F7CC3" w:rsidRDefault="009F7CC3" w:rsidP="00C86500">
                <w:pPr>
                  <w:spacing w:after="120"/>
                </w:pPr>
                <w:r>
                  <w:rPr>
                    <w:rFonts w:ascii="MS Gothic" w:eastAsia="MS Gothic" w:hAnsi="MS Gothic" w:hint="eastAsia"/>
                  </w:rPr>
                  <w:t>☐</w:t>
                </w:r>
              </w:p>
            </w:sdtContent>
          </w:sdt>
        </w:tc>
        <w:tc>
          <w:tcPr>
            <w:tcW w:w="4303" w:type="dxa"/>
            <w:tcBorders>
              <w:top w:val="single" w:sz="4" w:space="0" w:color="auto"/>
              <w:left w:val="nil"/>
              <w:bottom w:val="nil"/>
              <w:right w:val="single" w:sz="4" w:space="0" w:color="auto"/>
            </w:tcBorders>
          </w:tcPr>
          <w:p w14:paraId="6AC793F4" w14:textId="77777777" w:rsidR="009F7CC3" w:rsidRDefault="009F7CC3" w:rsidP="00C86500">
            <w:pPr>
              <w:spacing w:after="120"/>
            </w:pPr>
            <w:r w:rsidRPr="00C75098">
              <w:t>To assist with designing a new project</w:t>
            </w:r>
          </w:p>
        </w:tc>
      </w:tr>
      <w:tr w:rsidR="009F7CC3" w14:paraId="78721401" w14:textId="77777777" w:rsidTr="009A559B">
        <w:tc>
          <w:tcPr>
            <w:tcW w:w="546" w:type="dxa"/>
            <w:vMerge/>
          </w:tcPr>
          <w:p w14:paraId="318039F6" w14:textId="77777777" w:rsidR="009F7CC3" w:rsidRDefault="009F7CC3" w:rsidP="00C86500">
            <w:pPr>
              <w:spacing w:after="120"/>
            </w:pPr>
          </w:p>
        </w:tc>
        <w:tc>
          <w:tcPr>
            <w:tcW w:w="4552" w:type="dxa"/>
            <w:vMerge/>
            <w:tcBorders>
              <w:right w:val="single" w:sz="4" w:space="0" w:color="auto"/>
            </w:tcBorders>
          </w:tcPr>
          <w:p w14:paraId="1F3C55CE" w14:textId="77777777" w:rsidR="009F7CC3" w:rsidRPr="00C75098" w:rsidRDefault="009F7CC3" w:rsidP="00C86500">
            <w:pPr>
              <w:spacing w:after="120"/>
            </w:pPr>
          </w:p>
        </w:tc>
        <w:sdt>
          <w:sdtPr>
            <w:id w:val="-141208035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68B48598" w14:textId="77777777" w:rsidR="009F7CC3" w:rsidRDefault="009F7CC3" w:rsidP="00C86500">
                <w:pPr>
                  <w:spacing w:after="120"/>
                </w:pPr>
                <w:r>
                  <w:rPr>
                    <w:rFonts w:ascii="MS Gothic" w:eastAsia="MS Gothic" w:hAnsi="MS Gothic" w:hint="eastAsia"/>
                  </w:rPr>
                  <w:t>☐</w:t>
                </w:r>
              </w:p>
            </w:tc>
          </w:sdtContent>
        </w:sdt>
        <w:tc>
          <w:tcPr>
            <w:tcW w:w="4303" w:type="dxa"/>
            <w:tcBorders>
              <w:top w:val="nil"/>
              <w:left w:val="nil"/>
              <w:bottom w:val="nil"/>
              <w:right w:val="single" w:sz="4" w:space="0" w:color="auto"/>
            </w:tcBorders>
          </w:tcPr>
          <w:p w14:paraId="7075F62D" w14:textId="77777777" w:rsidR="009F7CC3" w:rsidRPr="00C75098" w:rsidRDefault="009F7CC3" w:rsidP="00C86500">
            <w:pPr>
              <w:spacing w:after="120"/>
            </w:pPr>
            <w:r w:rsidRPr="00C75098">
              <w:t>To perform a survey to participating centres</w:t>
            </w:r>
          </w:p>
        </w:tc>
      </w:tr>
      <w:tr w:rsidR="009F7CC3" w14:paraId="2D314BDB" w14:textId="77777777" w:rsidTr="009A559B">
        <w:tc>
          <w:tcPr>
            <w:tcW w:w="546" w:type="dxa"/>
            <w:vMerge/>
          </w:tcPr>
          <w:p w14:paraId="4B766DB6" w14:textId="77777777" w:rsidR="009F7CC3" w:rsidRDefault="009F7CC3" w:rsidP="00C86500">
            <w:pPr>
              <w:spacing w:after="120"/>
            </w:pPr>
          </w:p>
        </w:tc>
        <w:tc>
          <w:tcPr>
            <w:tcW w:w="4552" w:type="dxa"/>
            <w:vMerge/>
            <w:tcBorders>
              <w:right w:val="single" w:sz="4" w:space="0" w:color="auto"/>
            </w:tcBorders>
          </w:tcPr>
          <w:p w14:paraId="195BC8FE" w14:textId="77777777" w:rsidR="009F7CC3" w:rsidRPr="00C75098" w:rsidRDefault="009F7CC3" w:rsidP="00C86500">
            <w:pPr>
              <w:spacing w:after="120"/>
            </w:pPr>
          </w:p>
        </w:tc>
        <w:sdt>
          <w:sdtPr>
            <w:id w:val="112722577"/>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713A84FF" w14:textId="77777777" w:rsidR="009F7CC3" w:rsidRDefault="009F7CC3" w:rsidP="00C86500">
                <w:pPr>
                  <w:spacing w:after="120"/>
                </w:pPr>
                <w:r>
                  <w:rPr>
                    <w:rFonts w:ascii="MS Gothic" w:eastAsia="MS Gothic" w:hAnsi="MS Gothic" w:hint="eastAsia"/>
                  </w:rPr>
                  <w:t>☐</w:t>
                </w:r>
              </w:p>
            </w:tc>
          </w:sdtContent>
        </w:sdt>
        <w:tc>
          <w:tcPr>
            <w:tcW w:w="4303" w:type="dxa"/>
            <w:tcBorders>
              <w:top w:val="nil"/>
              <w:left w:val="nil"/>
              <w:bottom w:val="nil"/>
              <w:right w:val="single" w:sz="4" w:space="0" w:color="auto"/>
            </w:tcBorders>
          </w:tcPr>
          <w:p w14:paraId="6D0D2AD6" w14:textId="77777777" w:rsidR="009F7CC3" w:rsidRPr="00C75098" w:rsidRDefault="009F7CC3" w:rsidP="00C86500">
            <w:pPr>
              <w:spacing w:after="120"/>
            </w:pPr>
            <w:r w:rsidRPr="00C75098">
              <w:t>To obtain de-identified existing patient data from the registry</w:t>
            </w:r>
          </w:p>
        </w:tc>
      </w:tr>
      <w:tr w:rsidR="009F7CC3" w14:paraId="69A50184" w14:textId="77777777" w:rsidTr="009A559B">
        <w:trPr>
          <w:trHeight w:val="693"/>
        </w:trPr>
        <w:tc>
          <w:tcPr>
            <w:tcW w:w="546" w:type="dxa"/>
            <w:vMerge/>
          </w:tcPr>
          <w:p w14:paraId="5737CAA0" w14:textId="77777777" w:rsidR="009F7CC3" w:rsidRDefault="009F7CC3" w:rsidP="00C86500">
            <w:pPr>
              <w:spacing w:after="120"/>
            </w:pPr>
          </w:p>
        </w:tc>
        <w:tc>
          <w:tcPr>
            <w:tcW w:w="4552" w:type="dxa"/>
            <w:vMerge/>
            <w:tcBorders>
              <w:right w:val="single" w:sz="4" w:space="0" w:color="auto"/>
            </w:tcBorders>
          </w:tcPr>
          <w:p w14:paraId="12655390" w14:textId="77777777" w:rsidR="009F7CC3" w:rsidRPr="00C75098" w:rsidRDefault="009F7CC3" w:rsidP="00C86500">
            <w:pPr>
              <w:spacing w:after="120"/>
            </w:pPr>
          </w:p>
        </w:tc>
        <w:sdt>
          <w:sdtPr>
            <w:id w:val="-103287878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tcPr>
              <w:p w14:paraId="54438351" w14:textId="77777777" w:rsidR="009F7CC3" w:rsidRDefault="009F7CC3" w:rsidP="00C86500">
                <w:pPr>
                  <w:spacing w:after="120"/>
                </w:pPr>
                <w:r>
                  <w:rPr>
                    <w:rFonts w:ascii="MS Gothic" w:eastAsia="MS Gothic" w:hAnsi="MS Gothic" w:hint="eastAsia"/>
                  </w:rPr>
                  <w:t>☐</w:t>
                </w:r>
              </w:p>
            </w:tc>
          </w:sdtContent>
        </w:sdt>
        <w:tc>
          <w:tcPr>
            <w:tcW w:w="4303" w:type="dxa"/>
            <w:tcBorders>
              <w:top w:val="nil"/>
              <w:left w:val="nil"/>
              <w:bottom w:val="single" w:sz="4" w:space="0" w:color="auto"/>
              <w:right w:val="single" w:sz="4" w:space="0" w:color="auto"/>
            </w:tcBorders>
          </w:tcPr>
          <w:p w14:paraId="49FD90BB" w14:textId="756B4B5E" w:rsidR="009F7CC3" w:rsidRDefault="009F7CC3" w:rsidP="00C86500">
            <w:pPr>
              <w:spacing w:after="120"/>
            </w:pPr>
            <w:r w:rsidRPr="00C75098">
              <w:t>Any other project – please provide details</w:t>
            </w:r>
            <w:r>
              <w:t xml:space="preserve"> below</w:t>
            </w:r>
          </w:p>
          <w:p w14:paraId="3D11A99F" w14:textId="7ADC9CBD" w:rsidR="009F7CC3" w:rsidRPr="00C75098" w:rsidRDefault="009F7CC3" w:rsidP="00C86500">
            <w:pPr>
              <w:spacing w:after="120"/>
            </w:pPr>
          </w:p>
        </w:tc>
      </w:tr>
      <w:tr w:rsidR="009F7CC3" w14:paraId="07F13CA0" w14:textId="77777777" w:rsidTr="009A559B">
        <w:trPr>
          <w:trHeight w:val="947"/>
        </w:trPr>
        <w:tc>
          <w:tcPr>
            <w:tcW w:w="546" w:type="dxa"/>
            <w:vMerge/>
          </w:tcPr>
          <w:p w14:paraId="337F9279" w14:textId="77777777" w:rsidR="009F7CC3" w:rsidRDefault="009F7CC3" w:rsidP="00C86500">
            <w:pPr>
              <w:spacing w:after="120"/>
            </w:pPr>
          </w:p>
        </w:tc>
        <w:tc>
          <w:tcPr>
            <w:tcW w:w="4552" w:type="dxa"/>
            <w:vMerge/>
            <w:tcBorders>
              <w:right w:val="single" w:sz="4" w:space="0" w:color="auto"/>
            </w:tcBorders>
          </w:tcPr>
          <w:p w14:paraId="40230160" w14:textId="77777777" w:rsidR="009F7CC3" w:rsidRPr="00C75098" w:rsidRDefault="009F7CC3" w:rsidP="00C86500">
            <w:pPr>
              <w:spacing w:after="120"/>
            </w:pPr>
          </w:p>
        </w:tc>
        <w:tc>
          <w:tcPr>
            <w:tcW w:w="567" w:type="dxa"/>
            <w:tcBorders>
              <w:left w:val="single" w:sz="4" w:space="0" w:color="auto"/>
              <w:bottom w:val="single" w:sz="4" w:space="0" w:color="auto"/>
              <w:right w:val="nil"/>
            </w:tcBorders>
          </w:tcPr>
          <w:p w14:paraId="19F89C6A"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ACA4CC9" w14:textId="77777777" w:rsidR="009F7CC3" w:rsidRDefault="009F7CC3" w:rsidP="00C86500">
            <w:pPr>
              <w:spacing w:after="120"/>
            </w:pPr>
          </w:p>
          <w:p w14:paraId="71954E7E" w14:textId="77777777" w:rsidR="009F7CC3" w:rsidRPr="00C75098" w:rsidRDefault="009F7CC3" w:rsidP="00C86500">
            <w:pPr>
              <w:spacing w:after="120"/>
            </w:pPr>
          </w:p>
        </w:tc>
      </w:tr>
      <w:tr w:rsidR="009F7CC3" w14:paraId="16B618CD" w14:textId="77777777" w:rsidTr="009A559B">
        <w:tc>
          <w:tcPr>
            <w:tcW w:w="546" w:type="dxa"/>
            <w:vMerge w:val="restart"/>
          </w:tcPr>
          <w:p w14:paraId="7A380D1A" w14:textId="77777777" w:rsidR="009F7CC3" w:rsidRDefault="009F7CC3" w:rsidP="00C86500">
            <w:pPr>
              <w:spacing w:after="120"/>
            </w:pPr>
            <w:r>
              <w:t>8.</w:t>
            </w:r>
          </w:p>
        </w:tc>
        <w:tc>
          <w:tcPr>
            <w:tcW w:w="4552" w:type="dxa"/>
            <w:vMerge w:val="restart"/>
            <w:tcBorders>
              <w:right w:val="single" w:sz="4" w:space="0" w:color="auto"/>
            </w:tcBorders>
          </w:tcPr>
          <w:p w14:paraId="535B8AB7" w14:textId="77777777" w:rsidR="009F7CC3" w:rsidRDefault="009F7CC3" w:rsidP="00C86500">
            <w:pPr>
              <w:spacing w:after="120"/>
            </w:pPr>
            <w:r w:rsidRPr="008A7357">
              <w:t>Has the project been funded?</w:t>
            </w:r>
          </w:p>
        </w:tc>
        <w:sdt>
          <w:sdtPr>
            <w:id w:val="16430742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nil"/>
                  <w:right w:val="nil"/>
                </w:tcBorders>
              </w:tcPr>
              <w:p w14:paraId="79E57A73" w14:textId="77777777" w:rsidR="009F7CC3" w:rsidRDefault="009F7CC3" w:rsidP="00C86500">
                <w:pPr>
                  <w:spacing w:after="120"/>
                </w:pPr>
                <w:r>
                  <w:rPr>
                    <w:rFonts w:ascii="MS Gothic" w:eastAsia="MS Gothic" w:hAnsi="MS Gothic" w:hint="eastAsia"/>
                  </w:rPr>
                  <w:t>☐</w:t>
                </w:r>
              </w:p>
            </w:tc>
          </w:sdtContent>
        </w:sdt>
        <w:tc>
          <w:tcPr>
            <w:tcW w:w="4303" w:type="dxa"/>
            <w:tcBorders>
              <w:top w:val="single" w:sz="4" w:space="0" w:color="auto"/>
              <w:left w:val="nil"/>
              <w:bottom w:val="nil"/>
              <w:right w:val="single" w:sz="4" w:space="0" w:color="auto"/>
            </w:tcBorders>
          </w:tcPr>
          <w:p w14:paraId="73978429" w14:textId="77777777" w:rsidR="009F7CC3" w:rsidRDefault="009F7CC3" w:rsidP="00C86500">
            <w:pPr>
              <w:spacing w:after="120"/>
            </w:pPr>
            <w:r>
              <w:t>Yes</w:t>
            </w:r>
          </w:p>
        </w:tc>
      </w:tr>
      <w:tr w:rsidR="009F7CC3" w14:paraId="6B6558E4" w14:textId="77777777" w:rsidTr="009A559B">
        <w:tc>
          <w:tcPr>
            <w:tcW w:w="546" w:type="dxa"/>
            <w:vMerge/>
          </w:tcPr>
          <w:p w14:paraId="62E22658" w14:textId="77777777" w:rsidR="009F7CC3" w:rsidRDefault="009F7CC3" w:rsidP="00C86500">
            <w:pPr>
              <w:spacing w:after="120"/>
            </w:pPr>
          </w:p>
        </w:tc>
        <w:tc>
          <w:tcPr>
            <w:tcW w:w="4552" w:type="dxa"/>
            <w:vMerge/>
            <w:tcBorders>
              <w:right w:val="single" w:sz="4" w:space="0" w:color="auto"/>
            </w:tcBorders>
          </w:tcPr>
          <w:p w14:paraId="18E5EED0" w14:textId="77777777" w:rsidR="009F7CC3" w:rsidRPr="008A7357" w:rsidRDefault="009F7CC3" w:rsidP="00C86500">
            <w:pPr>
              <w:spacing w:after="120"/>
            </w:pPr>
          </w:p>
        </w:tc>
        <w:sdt>
          <w:sdtPr>
            <w:id w:val="550512806"/>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48076A2B" w14:textId="77777777" w:rsidR="009F7CC3" w:rsidRDefault="009F7CC3" w:rsidP="00C86500">
                <w:pPr>
                  <w:spacing w:after="120"/>
                </w:pPr>
                <w:r>
                  <w:rPr>
                    <w:rFonts w:ascii="MS Gothic" w:eastAsia="MS Gothic" w:hAnsi="MS Gothic" w:hint="eastAsia"/>
                  </w:rPr>
                  <w:t>☐</w:t>
                </w:r>
              </w:p>
            </w:tc>
          </w:sdtContent>
        </w:sdt>
        <w:tc>
          <w:tcPr>
            <w:tcW w:w="4303" w:type="dxa"/>
            <w:tcBorders>
              <w:top w:val="nil"/>
              <w:left w:val="nil"/>
              <w:bottom w:val="nil"/>
              <w:right w:val="single" w:sz="4" w:space="0" w:color="auto"/>
            </w:tcBorders>
          </w:tcPr>
          <w:p w14:paraId="5F80CDD5" w14:textId="77777777" w:rsidR="009F7CC3" w:rsidRDefault="009F7CC3" w:rsidP="00C86500">
            <w:pPr>
              <w:spacing w:after="120"/>
            </w:pPr>
            <w:r>
              <w:t>No (Go to question 12)</w:t>
            </w:r>
          </w:p>
        </w:tc>
      </w:tr>
      <w:tr w:rsidR="009F7CC3" w14:paraId="540CB98A" w14:textId="77777777" w:rsidTr="009A559B">
        <w:tc>
          <w:tcPr>
            <w:tcW w:w="546" w:type="dxa"/>
            <w:vMerge/>
          </w:tcPr>
          <w:p w14:paraId="2A100DFA" w14:textId="77777777" w:rsidR="009F7CC3" w:rsidRDefault="009F7CC3" w:rsidP="00C86500">
            <w:pPr>
              <w:spacing w:after="120"/>
            </w:pPr>
          </w:p>
        </w:tc>
        <w:tc>
          <w:tcPr>
            <w:tcW w:w="4552" w:type="dxa"/>
            <w:vMerge/>
            <w:tcBorders>
              <w:right w:val="single" w:sz="4" w:space="0" w:color="auto"/>
            </w:tcBorders>
          </w:tcPr>
          <w:p w14:paraId="44F4FFEB" w14:textId="77777777" w:rsidR="009F7CC3" w:rsidRPr="008A7357" w:rsidRDefault="009F7CC3" w:rsidP="00C86500">
            <w:pPr>
              <w:spacing w:after="120"/>
            </w:pPr>
          </w:p>
        </w:tc>
        <w:sdt>
          <w:sdtPr>
            <w:id w:val="-2756737"/>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auto"/>
                  <w:right w:val="nil"/>
                </w:tcBorders>
              </w:tcPr>
              <w:p w14:paraId="060ABAE2" w14:textId="77777777" w:rsidR="009F7CC3" w:rsidRDefault="009F7CC3" w:rsidP="00C86500">
                <w:pPr>
                  <w:spacing w:after="120"/>
                </w:pPr>
                <w:r>
                  <w:rPr>
                    <w:rFonts w:ascii="MS Gothic" w:eastAsia="MS Gothic" w:hAnsi="MS Gothic" w:hint="eastAsia"/>
                  </w:rPr>
                  <w:t>☐</w:t>
                </w:r>
              </w:p>
            </w:tc>
          </w:sdtContent>
        </w:sdt>
        <w:tc>
          <w:tcPr>
            <w:tcW w:w="4303" w:type="dxa"/>
            <w:tcBorders>
              <w:top w:val="nil"/>
              <w:left w:val="nil"/>
              <w:bottom w:val="single" w:sz="4" w:space="0" w:color="auto"/>
              <w:right w:val="single" w:sz="4" w:space="0" w:color="auto"/>
            </w:tcBorders>
          </w:tcPr>
          <w:p w14:paraId="64B021C7" w14:textId="77777777" w:rsidR="009F7CC3" w:rsidRDefault="009F7CC3" w:rsidP="00C86500">
            <w:pPr>
              <w:spacing w:after="120"/>
            </w:pPr>
            <w:r>
              <w:t>Not applicable</w:t>
            </w:r>
          </w:p>
        </w:tc>
      </w:tr>
      <w:tr w:rsidR="009F7CC3" w14:paraId="7FE0BDFD" w14:textId="77777777" w:rsidTr="009A559B">
        <w:tc>
          <w:tcPr>
            <w:tcW w:w="546" w:type="dxa"/>
          </w:tcPr>
          <w:p w14:paraId="0736D2B4" w14:textId="77777777" w:rsidR="009F7CC3" w:rsidRDefault="009F7CC3" w:rsidP="00C86500">
            <w:pPr>
              <w:spacing w:after="120"/>
            </w:pPr>
            <w:r>
              <w:t>9.</w:t>
            </w:r>
          </w:p>
        </w:tc>
        <w:tc>
          <w:tcPr>
            <w:tcW w:w="4552" w:type="dxa"/>
            <w:tcBorders>
              <w:right w:val="single" w:sz="4" w:space="0" w:color="auto"/>
            </w:tcBorders>
          </w:tcPr>
          <w:p w14:paraId="5D3E089F" w14:textId="77777777" w:rsidR="009F7CC3" w:rsidRDefault="009F7CC3" w:rsidP="00C86500">
            <w:pPr>
              <w:spacing w:after="120"/>
            </w:pPr>
            <w:r w:rsidRPr="008A7357">
              <w:t>Source of project funding</w:t>
            </w:r>
          </w:p>
        </w:tc>
        <w:tc>
          <w:tcPr>
            <w:tcW w:w="567" w:type="dxa"/>
            <w:tcBorders>
              <w:top w:val="single" w:sz="4" w:space="0" w:color="auto"/>
              <w:left w:val="single" w:sz="4" w:space="0" w:color="auto"/>
              <w:bottom w:val="single" w:sz="4" w:space="0" w:color="auto"/>
              <w:right w:val="nil"/>
            </w:tcBorders>
          </w:tcPr>
          <w:p w14:paraId="2FDDB5AC"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78F4F43" w14:textId="77777777" w:rsidR="009F7CC3" w:rsidRDefault="009F7CC3" w:rsidP="00C86500">
            <w:pPr>
              <w:spacing w:after="120"/>
            </w:pPr>
          </w:p>
        </w:tc>
      </w:tr>
      <w:tr w:rsidR="009F7CC3" w14:paraId="0BC37E05" w14:textId="77777777" w:rsidTr="009A559B">
        <w:tc>
          <w:tcPr>
            <w:tcW w:w="546" w:type="dxa"/>
          </w:tcPr>
          <w:p w14:paraId="6BE58E64" w14:textId="77777777" w:rsidR="009F7CC3" w:rsidRDefault="009F7CC3" w:rsidP="00C86500">
            <w:pPr>
              <w:spacing w:after="120"/>
            </w:pPr>
            <w:r>
              <w:t>10.</w:t>
            </w:r>
          </w:p>
        </w:tc>
        <w:tc>
          <w:tcPr>
            <w:tcW w:w="4552" w:type="dxa"/>
            <w:tcBorders>
              <w:right w:val="single" w:sz="4" w:space="0" w:color="auto"/>
            </w:tcBorders>
          </w:tcPr>
          <w:p w14:paraId="6094795A" w14:textId="77777777" w:rsidR="009F7CC3" w:rsidRDefault="009F7CC3" w:rsidP="00C86500">
            <w:pPr>
              <w:spacing w:after="120"/>
            </w:pPr>
            <w:r w:rsidRPr="008A7357">
              <w:t>Start date of funding (can be approximate)</w:t>
            </w:r>
          </w:p>
        </w:tc>
        <w:tc>
          <w:tcPr>
            <w:tcW w:w="567" w:type="dxa"/>
            <w:tcBorders>
              <w:top w:val="single" w:sz="4" w:space="0" w:color="auto"/>
              <w:left w:val="single" w:sz="4" w:space="0" w:color="auto"/>
              <w:bottom w:val="single" w:sz="4" w:space="0" w:color="auto"/>
              <w:right w:val="nil"/>
            </w:tcBorders>
          </w:tcPr>
          <w:p w14:paraId="3B00689B"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9B9E644" w14:textId="77777777" w:rsidR="009F7CC3" w:rsidRDefault="009F7CC3" w:rsidP="00C86500">
            <w:pPr>
              <w:spacing w:after="120"/>
            </w:pPr>
          </w:p>
        </w:tc>
      </w:tr>
      <w:tr w:rsidR="009F7CC3" w14:paraId="4187BCCF" w14:textId="77777777" w:rsidTr="009A559B">
        <w:tc>
          <w:tcPr>
            <w:tcW w:w="546" w:type="dxa"/>
          </w:tcPr>
          <w:p w14:paraId="65C64BF3" w14:textId="77777777" w:rsidR="009F7CC3" w:rsidRDefault="009F7CC3" w:rsidP="00C86500">
            <w:pPr>
              <w:spacing w:after="120"/>
            </w:pPr>
            <w:r>
              <w:t>11.</w:t>
            </w:r>
          </w:p>
        </w:tc>
        <w:tc>
          <w:tcPr>
            <w:tcW w:w="4552" w:type="dxa"/>
            <w:tcBorders>
              <w:right w:val="single" w:sz="4" w:space="0" w:color="auto"/>
            </w:tcBorders>
          </w:tcPr>
          <w:p w14:paraId="035C83B8" w14:textId="77777777" w:rsidR="009F7CC3" w:rsidRDefault="009F7CC3" w:rsidP="00C86500">
            <w:pPr>
              <w:spacing w:after="120"/>
            </w:pPr>
            <w:r w:rsidRPr="008A7357">
              <w:t>End date of funding (can be approximate)</w:t>
            </w:r>
          </w:p>
        </w:tc>
        <w:tc>
          <w:tcPr>
            <w:tcW w:w="567" w:type="dxa"/>
            <w:tcBorders>
              <w:top w:val="single" w:sz="4" w:space="0" w:color="auto"/>
              <w:left w:val="single" w:sz="4" w:space="0" w:color="auto"/>
              <w:bottom w:val="single" w:sz="4" w:space="0" w:color="auto"/>
              <w:right w:val="nil"/>
            </w:tcBorders>
          </w:tcPr>
          <w:p w14:paraId="0F35E68A"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21D9F48E" w14:textId="77777777" w:rsidR="009F7CC3" w:rsidRDefault="009F7CC3" w:rsidP="00C86500">
            <w:pPr>
              <w:spacing w:after="120"/>
            </w:pPr>
          </w:p>
        </w:tc>
      </w:tr>
      <w:tr w:rsidR="009F7CC3" w14:paraId="142FB8AD" w14:textId="77777777" w:rsidTr="009A559B">
        <w:tc>
          <w:tcPr>
            <w:tcW w:w="546" w:type="dxa"/>
          </w:tcPr>
          <w:p w14:paraId="0F632725" w14:textId="77777777" w:rsidR="009F7CC3" w:rsidRDefault="009F7CC3" w:rsidP="00C86500">
            <w:pPr>
              <w:spacing w:after="120"/>
            </w:pPr>
            <w:r>
              <w:t>12.</w:t>
            </w:r>
          </w:p>
        </w:tc>
        <w:tc>
          <w:tcPr>
            <w:tcW w:w="4552" w:type="dxa"/>
            <w:tcBorders>
              <w:right w:val="single" w:sz="4" w:space="0" w:color="auto"/>
            </w:tcBorders>
          </w:tcPr>
          <w:p w14:paraId="69E17707" w14:textId="77777777" w:rsidR="009F7CC3" w:rsidRDefault="009F7CC3" w:rsidP="00C86500">
            <w:pPr>
              <w:spacing w:after="120"/>
            </w:pPr>
            <w:r w:rsidRPr="008A7357">
              <w:t>Is there a plan to apply for funding?</w:t>
            </w:r>
          </w:p>
        </w:tc>
        <w:tc>
          <w:tcPr>
            <w:tcW w:w="567" w:type="dxa"/>
            <w:tcBorders>
              <w:top w:val="single" w:sz="4" w:space="0" w:color="auto"/>
              <w:left w:val="single" w:sz="4" w:space="0" w:color="auto"/>
              <w:bottom w:val="single" w:sz="4" w:space="0" w:color="auto"/>
              <w:right w:val="nil"/>
            </w:tcBorders>
          </w:tcPr>
          <w:p w14:paraId="09A0376A"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27A9840" w14:textId="77777777" w:rsidR="009F7CC3" w:rsidRDefault="009F7CC3" w:rsidP="00C86500">
            <w:pPr>
              <w:spacing w:after="120"/>
            </w:pPr>
          </w:p>
        </w:tc>
      </w:tr>
      <w:tr w:rsidR="009F7CC3" w14:paraId="2560BFD7" w14:textId="77777777" w:rsidTr="009A559B">
        <w:tc>
          <w:tcPr>
            <w:tcW w:w="546" w:type="dxa"/>
          </w:tcPr>
          <w:p w14:paraId="05CC8E22" w14:textId="77777777" w:rsidR="009F7CC3" w:rsidRDefault="009F7CC3" w:rsidP="00C86500">
            <w:pPr>
              <w:spacing w:after="120"/>
            </w:pPr>
            <w:r>
              <w:t>13.</w:t>
            </w:r>
          </w:p>
        </w:tc>
        <w:tc>
          <w:tcPr>
            <w:tcW w:w="4552" w:type="dxa"/>
            <w:tcBorders>
              <w:right w:val="single" w:sz="4" w:space="0" w:color="auto"/>
            </w:tcBorders>
          </w:tcPr>
          <w:p w14:paraId="13755432" w14:textId="77777777" w:rsidR="009F7CC3" w:rsidRDefault="009F7CC3" w:rsidP="003C38C9">
            <w:pPr>
              <w:spacing w:after="120"/>
            </w:pPr>
            <w:r w:rsidRPr="008A7357">
              <w:t>How will the data access costs be covered?</w:t>
            </w:r>
          </w:p>
        </w:tc>
        <w:tc>
          <w:tcPr>
            <w:tcW w:w="567" w:type="dxa"/>
            <w:tcBorders>
              <w:top w:val="single" w:sz="4" w:space="0" w:color="auto"/>
              <w:left w:val="single" w:sz="4" w:space="0" w:color="auto"/>
              <w:bottom w:val="single" w:sz="4" w:space="0" w:color="auto"/>
              <w:right w:val="nil"/>
            </w:tcBorders>
          </w:tcPr>
          <w:p w14:paraId="172BAB3A"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0154983B" w14:textId="77777777" w:rsidR="009F7CC3" w:rsidRDefault="009F7CC3" w:rsidP="00C86500">
            <w:pPr>
              <w:spacing w:after="120"/>
            </w:pPr>
          </w:p>
        </w:tc>
      </w:tr>
      <w:tr w:rsidR="009F7CC3" w14:paraId="6A9E900A" w14:textId="77777777" w:rsidTr="009A559B">
        <w:tc>
          <w:tcPr>
            <w:tcW w:w="546" w:type="dxa"/>
          </w:tcPr>
          <w:p w14:paraId="0BAC5BA0" w14:textId="77777777" w:rsidR="009F7CC3" w:rsidRDefault="009F7CC3" w:rsidP="00C86500">
            <w:pPr>
              <w:spacing w:after="120"/>
            </w:pPr>
            <w:r>
              <w:lastRenderedPageBreak/>
              <w:t>14.</w:t>
            </w:r>
          </w:p>
        </w:tc>
        <w:tc>
          <w:tcPr>
            <w:tcW w:w="4552" w:type="dxa"/>
            <w:tcBorders>
              <w:right w:val="single" w:sz="4" w:space="0" w:color="auto"/>
            </w:tcBorders>
          </w:tcPr>
          <w:p w14:paraId="6E43B0CC" w14:textId="77777777" w:rsidR="009F7CC3" w:rsidRDefault="009F7CC3" w:rsidP="00C86500">
            <w:pPr>
              <w:spacing w:after="120"/>
            </w:pPr>
            <w:r w:rsidRPr="008A7357">
              <w:t xml:space="preserve">Has this project been peer reviewed and approved by any organisation? </w:t>
            </w:r>
          </w:p>
          <w:p w14:paraId="35E275FD" w14:textId="77777777" w:rsidR="009F7CC3" w:rsidRDefault="009F7CC3" w:rsidP="00C86500">
            <w:pPr>
              <w:spacing w:after="120"/>
            </w:pPr>
            <w:r w:rsidRPr="008A7357">
              <w:t>(e.g. funding body, ethics body, regulatory agency, other formal organization)</w:t>
            </w:r>
          </w:p>
        </w:tc>
        <w:tc>
          <w:tcPr>
            <w:tcW w:w="567" w:type="dxa"/>
            <w:tcBorders>
              <w:top w:val="single" w:sz="4" w:space="0" w:color="auto"/>
              <w:left w:val="single" w:sz="4" w:space="0" w:color="auto"/>
              <w:bottom w:val="single" w:sz="4" w:space="0" w:color="auto"/>
              <w:right w:val="nil"/>
            </w:tcBorders>
          </w:tcPr>
          <w:sdt>
            <w:sdtPr>
              <w:id w:val="537240902"/>
              <w14:checkbox>
                <w14:checked w14:val="0"/>
                <w14:checkedState w14:val="2612" w14:font="MS Gothic"/>
                <w14:uncheckedState w14:val="2610" w14:font="MS Gothic"/>
              </w14:checkbox>
            </w:sdtPr>
            <w:sdtEndPr/>
            <w:sdtContent>
              <w:p w14:paraId="4BD52DF8" w14:textId="77777777" w:rsidR="009F7CC3" w:rsidRDefault="009F7CC3" w:rsidP="00C86500">
                <w:pPr>
                  <w:spacing w:after="120"/>
                </w:pPr>
                <w:r>
                  <w:rPr>
                    <w:rFonts w:ascii="MS Gothic" w:eastAsia="MS Gothic" w:hAnsi="MS Gothic" w:hint="eastAsia"/>
                  </w:rPr>
                  <w:t>☐</w:t>
                </w:r>
              </w:p>
            </w:sdtContent>
          </w:sdt>
          <w:sdt>
            <w:sdtPr>
              <w:id w:val="-943228457"/>
              <w14:checkbox>
                <w14:checked w14:val="0"/>
                <w14:checkedState w14:val="2612" w14:font="MS Gothic"/>
                <w14:uncheckedState w14:val="2610" w14:font="MS Gothic"/>
              </w14:checkbox>
            </w:sdtPr>
            <w:sdtEndPr/>
            <w:sdtContent>
              <w:p w14:paraId="4C5172BD" w14:textId="77777777" w:rsidR="009F7CC3" w:rsidRDefault="009F7CC3" w:rsidP="00C86500">
                <w:pPr>
                  <w:spacing w:after="120"/>
                </w:pPr>
                <w:r>
                  <w:rPr>
                    <w:rFonts w:ascii="MS Gothic" w:eastAsia="MS Gothic" w:hAnsi="MS Gothic" w:hint="eastAsia"/>
                  </w:rPr>
                  <w:t>☐</w:t>
                </w:r>
              </w:p>
            </w:sdtContent>
          </w:sdt>
          <w:sdt>
            <w:sdtPr>
              <w:id w:val="-1768066691"/>
              <w14:checkbox>
                <w14:checked w14:val="0"/>
                <w14:checkedState w14:val="2612" w14:font="MS Gothic"/>
                <w14:uncheckedState w14:val="2610" w14:font="MS Gothic"/>
              </w14:checkbox>
            </w:sdtPr>
            <w:sdtEndPr/>
            <w:sdtContent>
              <w:p w14:paraId="6BAB88DC" w14:textId="77777777" w:rsidR="009F7CC3" w:rsidRDefault="009F7CC3" w:rsidP="00C86500">
                <w:pPr>
                  <w:spacing w:after="120"/>
                </w:pPr>
                <w:r>
                  <w:rPr>
                    <w:rFonts w:ascii="MS Gothic" w:eastAsia="MS Gothic" w:hAnsi="MS Gothic" w:hint="eastAsia"/>
                  </w:rPr>
                  <w:t>☐</w:t>
                </w:r>
              </w:p>
            </w:sdtContent>
          </w:sdt>
        </w:tc>
        <w:tc>
          <w:tcPr>
            <w:tcW w:w="4303" w:type="dxa"/>
            <w:tcBorders>
              <w:top w:val="single" w:sz="4" w:space="0" w:color="auto"/>
              <w:left w:val="nil"/>
              <w:bottom w:val="single" w:sz="4" w:space="0" w:color="auto"/>
              <w:right w:val="single" w:sz="4" w:space="0" w:color="auto"/>
            </w:tcBorders>
          </w:tcPr>
          <w:p w14:paraId="2EAE55B6" w14:textId="77777777" w:rsidR="009F7CC3" w:rsidRDefault="009F7CC3" w:rsidP="00C86500">
            <w:pPr>
              <w:spacing w:after="120"/>
            </w:pPr>
            <w:r>
              <w:t>Yes</w:t>
            </w:r>
          </w:p>
          <w:p w14:paraId="711AEF45" w14:textId="77777777" w:rsidR="009F7CC3" w:rsidRDefault="009F7CC3" w:rsidP="00C86500">
            <w:pPr>
              <w:spacing w:after="120"/>
            </w:pPr>
            <w:r>
              <w:t>No</w:t>
            </w:r>
          </w:p>
          <w:p w14:paraId="315A2733" w14:textId="77777777" w:rsidR="009F7CC3" w:rsidRDefault="009F7CC3" w:rsidP="00C86500">
            <w:pPr>
              <w:spacing w:after="120"/>
            </w:pPr>
            <w:r>
              <w:t>Not applicable</w:t>
            </w:r>
          </w:p>
        </w:tc>
      </w:tr>
      <w:tr w:rsidR="009F7CC3" w14:paraId="7B7F72A6" w14:textId="77777777" w:rsidTr="009A559B">
        <w:tc>
          <w:tcPr>
            <w:tcW w:w="546" w:type="dxa"/>
          </w:tcPr>
          <w:p w14:paraId="6008B888" w14:textId="77777777" w:rsidR="009F7CC3" w:rsidRDefault="009F7CC3" w:rsidP="00C86500">
            <w:pPr>
              <w:spacing w:after="120"/>
            </w:pPr>
            <w:r>
              <w:t>15.</w:t>
            </w:r>
          </w:p>
        </w:tc>
        <w:tc>
          <w:tcPr>
            <w:tcW w:w="4552" w:type="dxa"/>
            <w:tcBorders>
              <w:right w:val="single" w:sz="4" w:space="0" w:color="auto"/>
            </w:tcBorders>
          </w:tcPr>
          <w:p w14:paraId="499C1EA2" w14:textId="30F92100" w:rsidR="009F7CC3" w:rsidRDefault="009F7CC3" w:rsidP="00C86500">
            <w:pPr>
              <w:spacing w:after="120"/>
            </w:pPr>
            <w:r w:rsidRPr="003F2733">
              <w:t>Please provide details of these organisation(s) and the date and duration of approval</w:t>
            </w:r>
            <w:r>
              <w:t xml:space="preserve"> (A copy to be provided)</w:t>
            </w:r>
          </w:p>
        </w:tc>
        <w:tc>
          <w:tcPr>
            <w:tcW w:w="567" w:type="dxa"/>
            <w:tcBorders>
              <w:top w:val="single" w:sz="4" w:space="0" w:color="auto"/>
              <w:left w:val="single" w:sz="4" w:space="0" w:color="auto"/>
              <w:bottom w:val="single" w:sz="4" w:space="0" w:color="auto"/>
              <w:right w:val="nil"/>
            </w:tcBorders>
          </w:tcPr>
          <w:p w14:paraId="055015E8"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C650BB8" w14:textId="77777777" w:rsidR="009F7CC3" w:rsidRDefault="009F7CC3" w:rsidP="00C86500">
            <w:pPr>
              <w:spacing w:after="120"/>
            </w:pPr>
          </w:p>
        </w:tc>
      </w:tr>
      <w:tr w:rsidR="009F7CC3" w14:paraId="277D8269" w14:textId="77777777" w:rsidTr="009A559B">
        <w:tc>
          <w:tcPr>
            <w:tcW w:w="546" w:type="dxa"/>
          </w:tcPr>
          <w:p w14:paraId="635E3E38" w14:textId="77777777" w:rsidR="009F7CC3" w:rsidRDefault="009F7CC3" w:rsidP="00C86500">
            <w:pPr>
              <w:spacing w:after="120"/>
            </w:pPr>
            <w:r>
              <w:t>16.</w:t>
            </w:r>
          </w:p>
        </w:tc>
        <w:tc>
          <w:tcPr>
            <w:tcW w:w="4552" w:type="dxa"/>
            <w:tcBorders>
              <w:right w:val="single" w:sz="4" w:space="0" w:color="auto"/>
            </w:tcBorders>
          </w:tcPr>
          <w:p w14:paraId="3185C42F" w14:textId="77777777" w:rsidR="009F7CC3" w:rsidRDefault="009F7CC3" w:rsidP="00C86500">
            <w:pPr>
              <w:spacing w:after="120"/>
            </w:pPr>
            <w:r w:rsidRPr="003F2733">
              <w:t>If not approved, is there a date for submission</w:t>
            </w:r>
          </w:p>
        </w:tc>
        <w:tc>
          <w:tcPr>
            <w:tcW w:w="567" w:type="dxa"/>
            <w:tcBorders>
              <w:top w:val="single" w:sz="4" w:space="0" w:color="auto"/>
              <w:left w:val="single" w:sz="4" w:space="0" w:color="auto"/>
              <w:bottom w:val="single" w:sz="4" w:space="0" w:color="auto"/>
              <w:right w:val="nil"/>
            </w:tcBorders>
          </w:tcPr>
          <w:sdt>
            <w:sdtPr>
              <w:id w:val="-1212031667"/>
              <w14:checkbox>
                <w14:checked w14:val="0"/>
                <w14:checkedState w14:val="2612" w14:font="MS Gothic"/>
                <w14:uncheckedState w14:val="2610" w14:font="MS Gothic"/>
              </w14:checkbox>
            </w:sdtPr>
            <w:sdtEndPr/>
            <w:sdtContent>
              <w:p w14:paraId="73C410BE" w14:textId="77777777" w:rsidR="009F7CC3" w:rsidRDefault="009F7CC3" w:rsidP="00C86500">
                <w:pPr>
                  <w:spacing w:after="120"/>
                </w:pPr>
                <w:r>
                  <w:rPr>
                    <w:rFonts w:ascii="MS Gothic" w:eastAsia="MS Gothic" w:hAnsi="MS Gothic" w:hint="eastAsia"/>
                  </w:rPr>
                  <w:t>☐</w:t>
                </w:r>
              </w:p>
            </w:sdtContent>
          </w:sdt>
          <w:sdt>
            <w:sdtPr>
              <w:id w:val="-1027481754"/>
              <w14:checkbox>
                <w14:checked w14:val="0"/>
                <w14:checkedState w14:val="2612" w14:font="MS Gothic"/>
                <w14:uncheckedState w14:val="2610" w14:font="MS Gothic"/>
              </w14:checkbox>
            </w:sdtPr>
            <w:sdtEndPr/>
            <w:sdtContent>
              <w:p w14:paraId="43C348C7" w14:textId="77777777" w:rsidR="009F7CC3" w:rsidRDefault="009F7CC3" w:rsidP="00C86500">
                <w:pPr>
                  <w:spacing w:after="120"/>
                </w:pPr>
                <w:r>
                  <w:rPr>
                    <w:rFonts w:ascii="MS Gothic" w:eastAsia="MS Gothic" w:hAnsi="MS Gothic" w:hint="eastAsia"/>
                  </w:rPr>
                  <w:t>☐</w:t>
                </w:r>
              </w:p>
            </w:sdtContent>
          </w:sdt>
        </w:tc>
        <w:tc>
          <w:tcPr>
            <w:tcW w:w="4303" w:type="dxa"/>
            <w:tcBorders>
              <w:top w:val="single" w:sz="4" w:space="0" w:color="auto"/>
              <w:left w:val="nil"/>
              <w:bottom w:val="single" w:sz="4" w:space="0" w:color="auto"/>
              <w:right w:val="single" w:sz="4" w:space="0" w:color="auto"/>
            </w:tcBorders>
          </w:tcPr>
          <w:p w14:paraId="35CBC898" w14:textId="77777777" w:rsidR="009F7CC3" w:rsidRDefault="009F7CC3" w:rsidP="00C86500">
            <w:pPr>
              <w:spacing w:after="120"/>
            </w:pPr>
            <w:r>
              <w:t xml:space="preserve">Yes; provide date: </w:t>
            </w:r>
          </w:p>
          <w:p w14:paraId="65DB41F0" w14:textId="77777777" w:rsidR="009F7CC3" w:rsidRDefault="009F7CC3" w:rsidP="00C86500">
            <w:pPr>
              <w:spacing w:after="120"/>
            </w:pPr>
            <w:r>
              <w:t>No</w:t>
            </w:r>
          </w:p>
        </w:tc>
      </w:tr>
      <w:tr w:rsidR="009F7CC3" w14:paraId="05B10C0A" w14:textId="77777777" w:rsidTr="009A559B">
        <w:tc>
          <w:tcPr>
            <w:tcW w:w="546" w:type="dxa"/>
          </w:tcPr>
          <w:p w14:paraId="1500B10B" w14:textId="77777777" w:rsidR="009F7CC3" w:rsidRDefault="009F7CC3" w:rsidP="00C86500">
            <w:pPr>
              <w:spacing w:after="120"/>
            </w:pPr>
            <w:r>
              <w:t>17.</w:t>
            </w:r>
          </w:p>
        </w:tc>
        <w:tc>
          <w:tcPr>
            <w:tcW w:w="4552" w:type="dxa"/>
            <w:tcBorders>
              <w:right w:val="single" w:sz="4" w:space="0" w:color="auto"/>
            </w:tcBorders>
          </w:tcPr>
          <w:p w14:paraId="56949DA1" w14:textId="77777777" w:rsidR="009F7CC3" w:rsidRDefault="009F7CC3" w:rsidP="00C86500">
            <w:pPr>
              <w:spacing w:after="120"/>
            </w:pPr>
            <w:r w:rsidRPr="003F2733">
              <w:t>Background and rationale for support required (max 500 words)</w:t>
            </w:r>
          </w:p>
        </w:tc>
        <w:tc>
          <w:tcPr>
            <w:tcW w:w="567" w:type="dxa"/>
            <w:tcBorders>
              <w:top w:val="single" w:sz="4" w:space="0" w:color="auto"/>
              <w:left w:val="single" w:sz="4" w:space="0" w:color="auto"/>
              <w:bottom w:val="single" w:sz="4" w:space="0" w:color="auto"/>
              <w:right w:val="nil"/>
            </w:tcBorders>
          </w:tcPr>
          <w:p w14:paraId="1E7010E4"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4C44C7C7" w14:textId="77777777" w:rsidR="009F7CC3" w:rsidRDefault="009F7CC3" w:rsidP="00C86500">
            <w:pPr>
              <w:spacing w:after="120"/>
            </w:pPr>
          </w:p>
        </w:tc>
      </w:tr>
      <w:tr w:rsidR="009F7CC3" w14:paraId="1A3CA261" w14:textId="77777777" w:rsidTr="009A559B">
        <w:tc>
          <w:tcPr>
            <w:tcW w:w="546" w:type="dxa"/>
          </w:tcPr>
          <w:p w14:paraId="7427A0F0" w14:textId="77777777" w:rsidR="009F7CC3" w:rsidRDefault="009F7CC3" w:rsidP="00C86500">
            <w:pPr>
              <w:spacing w:after="120"/>
            </w:pPr>
            <w:r>
              <w:t>18.</w:t>
            </w:r>
          </w:p>
        </w:tc>
        <w:tc>
          <w:tcPr>
            <w:tcW w:w="4552" w:type="dxa"/>
            <w:tcBorders>
              <w:right w:val="single" w:sz="4" w:space="0" w:color="auto"/>
            </w:tcBorders>
          </w:tcPr>
          <w:p w14:paraId="2F561811" w14:textId="77777777" w:rsidR="009F7CC3" w:rsidRDefault="009F7CC3" w:rsidP="00C86500">
            <w:pPr>
              <w:spacing w:after="120"/>
            </w:pPr>
            <w:r w:rsidRPr="003F2733">
              <w:t>What is the primary aim or hypothesis of the project?</w:t>
            </w:r>
          </w:p>
        </w:tc>
        <w:tc>
          <w:tcPr>
            <w:tcW w:w="567" w:type="dxa"/>
            <w:tcBorders>
              <w:top w:val="single" w:sz="4" w:space="0" w:color="auto"/>
              <w:left w:val="single" w:sz="4" w:space="0" w:color="auto"/>
              <w:bottom w:val="single" w:sz="4" w:space="0" w:color="auto"/>
              <w:right w:val="nil"/>
            </w:tcBorders>
          </w:tcPr>
          <w:p w14:paraId="14E607D7"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57C77767" w14:textId="77777777" w:rsidR="009F7CC3" w:rsidRDefault="009F7CC3" w:rsidP="00C86500">
            <w:pPr>
              <w:spacing w:after="120"/>
            </w:pPr>
          </w:p>
        </w:tc>
      </w:tr>
      <w:tr w:rsidR="009F7CC3" w14:paraId="6FF3EE7E" w14:textId="77777777" w:rsidTr="009A559B">
        <w:tc>
          <w:tcPr>
            <w:tcW w:w="546" w:type="dxa"/>
          </w:tcPr>
          <w:p w14:paraId="232E35A9" w14:textId="77777777" w:rsidR="009F7CC3" w:rsidRDefault="009F7CC3" w:rsidP="00C86500">
            <w:pPr>
              <w:spacing w:after="120"/>
            </w:pPr>
            <w:r>
              <w:t>19.</w:t>
            </w:r>
          </w:p>
        </w:tc>
        <w:tc>
          <w:tcPr>
            <w:tcW w:w="4552" w:type="dxa"/>
            <w:tcBorders>
              <w:right w:val="single" w:sz="4" w:space="0" w:color="auto"/>
            </w:tcBorders>
          </w:tcPr>
          <w:p w14:paraId="3ECD66BE" w14:textId="77777777" w:rsidR="009F7CC3" w:rsidRDefault="009F7CC3" w:rsidP="00C86500">
            <w:pPr>
              <w:spacing w:after="120"/>
            </w:pPr>
            <w:r w:rsidRPr="003F2733">
              <w:t>What are the primary outcomes that will be measured?</w:t>
            </w:r>
          </w:p>
        </w:tc>
        <w:tc>
          <w:tcPr>
            <w:tcW w:w="567" w:type="dxa"/>
            <w:tcBorders>
              <w:top w:val="single" w:sz="4" w:space="0" w:color="auto"/>
              <w:left w:val="single" w:sz="4" w:space="0" w:color="auto"/>
              <w:bottom w:val="single" w:sz="4" w:space="0" w:color="auto"/>
              <w:right w:val="nil"/>
            </w:tcBorders>
          </w:tcPr>
          <w:p w14:paraId="68EB5266"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26C508EB" w14:textId="77777777" w:rsidR="009F7CC3" w:rsidRDefault="009F7CC3" w:rsidP="00C86500">
            <w:pPr>
              <w:spacing w:after="120"/>
            </w:pPr>
          </w:p>
        </w:tc>
      </w:tr>
      <w:tr w:rsidR="009F7CC3" w14:paraId="4664AE78" w14:textId="77777777" w:rsidTr="009A559B">
        <w:tc>
          <w:tcPr>
            <w:tcW w:w="546" w:type="dxa"/>
          </w:tcPr>
          <w:p w14:paraId="7C1150C7" w14:textId="77777777" w:rsidR="009F7CC3" w:rsidRDefault="009F7CC3" w:rsidP="00C86500">
            <w:pPr>
              <w:spacing w:after="120"/>
            </w:pPr>
            <w:r>
              <w:t>20.</w:t>
            </w:r>
          </w:p>
        </w:tc>
        <w:tc>
          <w:tcPr>
            <w:tcW w:w="4552" w:type="dxa"/>
            <w:tcBorders>
              <w:right w:val="single" w:sz="4" w:space="0" w:color="auto"/>
            </w:tcBorders>
          </w:tcPr>
          <w:p w14:paraId="3F54EFFC" w14:textId="77777777" w:rsidR="009F7CC3" w:rsidRDefault="009F7CC3" w:rsidP="00C86500">
            <w:pPr>
              <w:spacing w:after="120"/>
            </w:pPr>
            <w:r w:rsidRPr="003F2733">
              <w:t>What are the secondary outcomes that will be measured?</w:t>
            </w:r>
          </w:p>
        </w:tc>
        <w:tc>
          <w:tcPr>
            <w:tcW w:w="567" w:type="dxa"/>
            <w:tcBorders>
              <w:top w:val="single" w:sz="4" w:space="0" w:color="auto"/>
              <w:left w:val="single" w:sz="4" w:space="0" w:color="auto"/>
              <w:bottom w:val="single" w:sz="4" w:space="0" w:color="auto"/>
              <w:right w:val="nil"/>
            </w:tcBorders>
          </w:tcPr>
          <w:p w14:paraId="38875C9B"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3BF879C7" w14:textId="77777777" w:rsidR="009F7CC3" w:rsidRDefault="009F7CC3" w:rsidP="00C86500">
            <w:pPr>
              <w:spacing w:after="120"/>
            </w:pPr>
          </w:p>
        </w:tc>
      </w:tr>
      <w:tr w:rsidR="009F7CC3" w14:paraId="6D109ED3" w14:textId="77777777" w:rsidTr="009A559B">
        <w:tc>
          <w:tcPr>
            <w:tcW w:w="546" w:type="dxa"/>
          </w:tcPr>
          <w:p w14:paraId="1F861001" w14:textId="77777777" w:rsidR="009F7CC3" w:rsidRDefault="009F7CC3" w:rsidP="00C86500">
            <w:pPr>
              <w:spacing w:after="120"/>
            </w:pPr>
            <w:r>
              <w:t>21.</w:t>
            </w:r>
          </w:p>
        </w:tc>
        <w:tc>
          <w:tcPr>
            <w:tcW w:w="4552" w:type="dxa"/>
            <w:tcBorders>
              <w:right w:val="single" w:sz="4" w:space="0" w:color="auto"/>
            </w:tcBorders>
          </w:tcPr>
          <w:p w14:paraId="7520CB1B" w14:textId="77777777" w:rsidR="009F7CC3" w:rsidRDefault="009F7CC3" w:rsidP="00C86500">
            <w:pPr>
              <w:tabs>
                <w:tab w:val="left" w:pos="1263"/>
              </w:tabs>
              <w:spacing w:after="120"/>
            </w:pPr>
            <w:r w:rsidRPr="003F2733">
              <w:t>Describe the methodology including project design (max 500 words)</w:t>
            </w:r>
          </w:p>
        </w:tc>
        <w:tc>
          <w:tcPr>
            <w:tcW w:w="567" w:type="dxa"/>
            <w:tcBorders>
              <w:top w:val="single" w:sz="4" w:space="0" w:color="auto"/>
              <w:left w:val="single" w:sz="4" w:space="0" w:color="auto"/>
              <w:bottom w:val="single" w:sz="4" w:space="0" w:color="auto"/>
              <w:right w:val="nil"/>
            </w:tcBorders>
          </w:tcPr>
          <w:p w14:paraId="061CB55C"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6664924" w14:textId="77777777" w:rsidR="009F7CC3" w:rsidRDefault="009F7CC3" w:rsidP="00C86500">
            <w:pPr>
              <w:spacing w:after="120"/>
            </w:pPr>
          </w:p>
        </w:tc>
      </w:tr>
      <w:tr w:rsidR="009F7CC3" w14:paraId="000CDB15" w14:textId="77777777" w:rsidTr="009A559B">
        <w:tc>
          <w:tcPr>
            <w:tcW w:w="546" w:type="dxa"/>
          </w:tcPr>
          <w:p w14:paraId="31AA000F" w14:textId="77777777" w:rsidR="009F7CC3" w:rsidRDefault="009F7CC3" w:rsidP="00C86500">
            <w:pPr>
              <w:spacing w:after="120"/>
            </w:pPr>
            <w:r>
              <w:t>22.</w:t>
            </w:r>
          </w:p>
        </w:tc>
        <w:tc>
          <w:tcPr>
            <w:tcW w:w="4552" w:type="dxa"/>
            <w:tcBorders>
              <w:right w:val="single" w:sz="4" w:space="0" w:color="auto"/>
            </w:tcBorders>
          </w:tcPr>
          <w:p w14:paraId="61D11F95" w14:textId="77777777" w:rsidR="009F7CC3" w:rsidRDefault="009F7CC3" w:rsidP="00C86500">
            <w:pPr>
              <w:spacing w:after="120"/>
            </w:pPr>
            <w:r w:rsidRPr="003F2733">
              <w:t>State the inclusion criteria of the cases that will be recruited</w:t>
            </w:r>
          </w:p>
        </w:tc>
        <w:tc>
          <w:tcPr>
            <w:tcW w:w="567" w:type="dxa"/>
            <w:tcBorders>
              <w:top w:val="single" w:sz="4" w:space="0" w:color="auto"/>
              <w:left w:val="single" w:sz="4" w:space="0" w:color="auto"/>
              <w:bottom w:val="single" w:sz="4" w:space="0" w:color="auto"/>
              <w:right w:val="nil"/>
            </w:tcBorders>
          </w:tcPr>
          <w:p w14:paraId="2EB572B1"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01FDC8CC" w14:textId="77777777" w:rsidR="009F7CC3" w:rsidRDefault="009F7CC3" w:rsidP="00C86500">
            <w:pPr>
              <w:spacing w:after="120"/>
            </w:pPr>
          </w:p>
        </w:tc>
      </w:tr>
      <w:tr w:rsidR="009F7CC3" w14:paraId="757CA8E8" w14:textId="77777777" w:rsidTr="009A559B">
        <w:tc>
          <w:tcPr>
            <w:tcW w:w="546" w:type="dxa"/>
          </w:tcPr>
          <w:p w14:paraId="083D651D" w14:textId="77777777" w:rsidR="009F7CC3" w:rsidRDefault="009F7CC3" w:rsidP="00C86500">
            <w:pPr>
              <w:spacing w:after="120"/>
            </w:pPr>
            <w:r>
              <w:t>23.</w:t>
            </w:r>
          </w:p>
        </w:tc>
        <w:tc>
          <w:tcPr>
            <w:tcW w:w="4552" w:type="dxa"/>
            <w:tcBorders>
              <w:right w:val="single" w:sz="4" w:space="0" w:color="auto"/>
            </w:tcBorders>
          </w:tcPr>
          <w:p w14:paraId="365CC1A7" w14:textId="77777777" w:rsidR="009F7CC3" w:rsidRPr="003F2733" w:rsidRDefault="009F7CC3" w:rsidP="00C86500">
            <w:pPr>
              <w:spacing w:after="120"/>
            </w:pPr>
            <w:r w:rsidRPr="003F2733">
              <w:t>State the exclusion criteria of the cases that will be recruited</w:t>
            </w:r>
          </w:p>
        </w:tc>
        <w:tc>
          <w:tcPr>
            <w:tcW w:w="567" w:type="dxa"/>
            <w:tcBorders>
              <w:top w:val="single" w:sz="4" w:space="0" w:color="auto"/>
              <w:left w:val="single" w:sz="4" w:space="0" w:color="auto"/>
              <w:bottom w:val="single" w:sz="4" w:space="0" w:color="auto"/>
              <w:right w:val="nil"/>
            </w:tcBorders>
          </w:tcPr>
          <w:p w14:paraId="1F7DEE69"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3D2FFFFF" w14:textId="77777777" w:rsidR="009F7CC3" w:rsidRDefault="009F7CC3" w:rsidP="00C86500">
            <w:pPr>
              <w:spacing w:after="120"/>
            </w:pPr>
          </w:p>
        </w:tc>
      </w:tr>
      <w:tr w:rsidR="009F7CC3" w14:paraId="4F812B58" w14:textId="77777777" w:rsidTr="009A559B">
        <w:tc>
          <w:tcPr>
            <w:tcW w:w="546" w:type="dxa"/>
          </w:tcPr>
          <w:p w14:paraId="4A68D33A" w14:textId="77777777" w:rsidR="009F7CC3" w:rsidRDefault="009F7CC3" w:rsidP="00C86500">
            <w:pPr>
              <w:spacing w:after="120"/>
            </w:pPr>
            <w:r>
              <w:t>24.</w:t>
            </w:r>
          </w:p>
        </w:tc>
        <w:tc>
          <w:tcPr>
            <w:tcW w:w="4552" w:type="dxa"/>
            <w:tcBorders>
              <w:right w:val="single" w:sz="4" w:space="0" w:color="auto"/>
            </w:tcBorders>
          </w:tcPr>
          <w:p w14:paraId="327C3728" w14:textId="7690D4E5" w:rsidR="009F7CC3" w:rsidRPr="003F2733" w:rsidRDefault="009F7CC3" w:rsidP="00C86500">
            <w:pPr>
              <w:spacing w:after="120"/>
            </w:pPr>
            <w:r w:rsidRPr="003F2733">
              <w:t>Specify the data</w:t>
            </w:r>
            <w:r w:rsidR="00D4461C">
              <w:t xml:space="preserve"> points</w:t>
            </w:r>
            <w:r w:rsidRPr="003F2733">
              <w:t xml:space="preserve"> that is required from the Regist</w:t>
            </w:r>
            <w:r>
              <w:t>ry</w:t>
            </w:r>
            <w:r w:rsidRPr="003F2733">
              <w:t xml:space="preserve"> using the Data Request justification section of the Data Dictionary</w:t>
            </w:r>
          </w:p>
        </w:tc>
        <w:tc>
          <w:tcPr>
            <w:tcW w:w="567" w:type="dxa"/>
            <w:tcBorders>
              <w:top w:val="single" w:sz="4" w:space="0" w:color="auto"/>
              <w:left w:val="single" w:sz="4" w:space="0" w:color="auto"/>
              <w:bottom w:val="single" w:sz="4" w:space="0" w:color="auto"/>
              <w:right w:val="nil"/>
            </w:tcBorders>
          </w:tcPr>
          <w:p w14:paraId="625CC043"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B48B62A" w14:textId="77777777" w:rsidR="009F7CC3" w:rsidRDefault="009F7CC3" w:rsidP="00C86500">
            <w:pPr>
              <w:spacing w:after="120"/>
            </w:pPr>
          </w:p>
        </w:tc>
      </w:tr>
      <w:tr w:rsidR="009F7CC3" w14:paraId="32AA95CF" w14:textId="77777777" w:rsidTr="009A559B">
        <w:tc>
          <w:tcPr>
            <w:tcW w:w="546" w:type="dxa"/>
          </w:tcPr>
          <w:p w14:paraId="2968B0C0" w14:textId="77777777" w:rsidR="009F7CC3" w:rsidRDefault="009F7CC3" w:rsidP="00C86500">
            <w:pPr>
              <w:spacing w:after="120"/>
            </w:pPr>
            <w:r>
              <w:t>25.</w:t>
            </w:r>
          </w:p>
        </w:tc>
        <w:tc>
          <w:tcPr>
            <w:tcW w:w="4552" w:type="dxa"/>
            <w:tcBorders>
              <w:right w:val="single" w:sz="4" w:space="0" w:color="auto"/>
            </w:tcBorders>
          </w:tcPr>
          <w:p w14:paraId="3051912A" w14:textId="77777777" w:rsidR="009F7CC3" w:rsidRPr="003F2733" w:rsidRDefault="009F7CC3" w:rsidP="00C86500">
            <w:pPr>
              <w:spacing w:after="120"/>
            </w:pPr>
            <w:r w:rsidRPr="003F2733">
              <w:t>Specify any data fields that are not currently collected in the regist</w:t>
            </w:r>
            <w:r>
              <w:t>ry</w:t>
            </w:r>
            <w:r w:rsidRPr="003F2733">
              <w:t xml:space="preserve"> but will be necessary for your project</w:t>
            </w:r>
          </w:p>
        </w:tc>
        <w:tc>
          <w:tcPr>
            <w:tcW w:w="567" w:type="dxa"/>
            <w:tcBorders>
              <w:top w:val="single" w:sz="4" w:space="0" w:color="auto"/>
              <w:left w:val="single" w:sz="4" w:space="0" w:color="auto"/>
              <w:bottom w:val="single" w:sz="4" w:space="0" w:color="auto"/>
              <w:right w:val="nil"/>
            </w:tcBorders>
          </w:tcPr>
          <w:p w14:paraId="443AC2D0"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D507524" w14:textId="77777777" w:rsidR="009F7CC3" w:rsidRDefault="009F7CC3" w:rsidP="00C86500">
            <w:pPr>
              <w:spacing w:after="120"/>
            </w:pPr>
          </w:p>
        </w:tc>
      </w:tr>
      <w:tr w:rsidR="009F7CC3" w14:paraId="569B5424" w14:textId="77777777" w:rsidTr="009A559B">
        <w:tc>
          <w:tcPr>
            <w:tcW w:w="546" w:type="dxa"/>
          </w:tcPr>
          <w:p w14:paraId="5541F4B9" w14:textId="77777777" w:rsidR="009F7CC3" w:rsidRDefault="009F7CC3" w:rsidP="00C86500">
            <w:pPr>
              <w:spacing w:after="120"/>
            </w:pPr>
            <w:r>
              <w:t>26.</w:t>
            </w:r>
          </w:p>
        </w:tc>
        <w:tc>
          <w:tcPr>
            <w:tcW w:w="4552" w:type="dxa"/>
            <w:tcBorders>
              <w:right w:val="single" w:sz="4" w:space="0" w:color="auto"/>
            </w:tcBorders>
          </w:tcPr>
          <w:p w14:paraId="5E5644D5" w14:textId="2F148A8E" w:rsidR="009F7CC3" w:rsidRPr="003F2733" w:rsidRDefault="009F7CC3" w:rsidP="00C86500">
            <w:pPr>
              <w:spacing w:after="120"/>
            </w:pPr>
            <w:r w:rsidRPr="003F2733">
              <w:t>Summary of project for the website</w:t>
            </w:r>
            <w:r>
              <w:t>, if appropriate</w:t>
            </w:r>
            <w:r w:rsidRPr="003F2733">
              <w:t xml:space="preserve">  (max 200 words)</w:t>
            </w:r>
          </w:p>
        </w:tc>
        <w:tc>
          <w:tcPr>
            <w:tcW w:w="567" w:type="dxa"/>
            <w:tcBorders>
              <w:top w:val="single" w:sz="4" w:space="0" w:color="auto"/>
              <w:left w:val="single" w:sz="4" w:space="0" w:color="auto"/>
              <w:bottom w:val="single" w:sz="4" w:space="0" w:color="auto"/>
              <w:right w:val="nil"/>
            </w:tcBorders>
          </w:tcPr>
          <w:p w14:paraId="2E9B813D"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1EB9BD2E" w14:textId="77777777" w:rsidR="009F7CC3" w:rsidRDefault="009F7CC3" w:rsidP="00C86500">
            <w:pPr>
              <w:spacing w:after="120"/>
            </w:pPr>
          </w:p>
        </w:tc>
      </w:tr>
      <w:tr w:rsidR="009F7CC3" w14:paraId="5612CA5B" w14:textId="77777777" w:rsidTr="009A559B">
        <w:tc>
          <w:tcPr>
            <w:tcW w:w="546" w:type="dxa"/>
          </w:tcPr>
          <w:p w14:paraId="0AD7C550" w14:textId="77777777" w:rsidR="009F7CC3" w:rsidRDefault="009F7CC3" w:rsidP="00C86500">
            <w:pPr>
              <w:spacing w:after="120"/>
            </w:pPr>
            <w:r>
              <w:t>28.</w:t>
            </w:r>
          </w:p>
        </w:tc>
        <w:tc>
          <w:tcPr>
            <w:tcW w:w="4552" w:type="dxa"/>
            <w:tcBorders>
              <w:right w:val="single" w:sz="4" w:space="0" w:color="auto"/>
            </w:tcBorders>
          </w:tcPr>
          <w:p w14:paraId="12B93853" w14:textId="77777777" w:rsidR="009F7CC3" w:rsidRPr="003F2733" w:rsidRDefault="009F7CC3" w:rsidP="00C86500">
            <w:pPr>
              <w:spacing w:after="120"/>
            </w:pPr>
            <w:r w:rsidRPr="003F2733">
              <w:t>How will this project improve the health of the people with the condition that is being studied?</w:t>
            </w:r>
          </w:p>
        </w:tc>
        <w:tc>
          <w:tcPr>
            <w:tcW w:w="567" w:type="dxa"/>
            <w:tcBorders>
              <w:top w:val="single" w:sz="4" w:space="0" w:color="auto"/>
              <w:left w:val="single" w:sz="4" w:space="0" w:color="auto"/>
              <w:bottom w:val="single" w:sz="4" w:space="0" w:color="auto"/>
              <w:right w:val="nil"/>
            </w:tcBorders>
          </w:tcPr>
          <w:p w14:paraId="66B28CB6"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ACD03AC" w14:textId="77777777" w:rsidR="009F7CC3" w:rsidRDefault="009F7CC3" w:rsidP="00C86500">
            <w:pPr>
              <w:spacing w:after="120"/>
            </w:pPr>
          </w:p>
        </w:tc>
      </w:tr>
      <w:tr w:rsidR="009F7CC3" w14:paraId="54D1DA73" w14:textId="77777777" w:rsidTr="009A559B">
        <w:tc>
          <w:tcPr>
            <w:tcW w:w="546" w:type="dxa"/>
          </w:tcPr>
          <w:p w14:paraId="29E9DC0D" w14:textId="77777777" w:rsidR="009F7CC3" w:rsidRDefault="009F7CC3" w:rsidP="00C86500">
            <w:pPr>
              <w:spacing w:after="120"/>
            </w:pPr>
            <w:r>
              <w:t>29.</w:t>
            </w:r>
          </w:p>
        </w:tc>
        <w:tc>
          <w:tcPr>
            <w:tcW w:w="4552" w:type="dxa"/>
            <w:tcBorders>
              <w:right w:val="single" w:sz="4" w:space="0" w:color="auto"/>
            </w:tcBorders>
          </w:tcPr>
          <w:p w14:paraId="0BABB425" w14:textId="77777777" w:rsidR="009F7CC3" w:rsidRPr="003F2733" w:rsidRDefault="009F7CC3" w:rsidP="00C86500">
            <w:pPr>
              <w:spacing w:after="120"/>
            </w:pPr>
            <w:r w:rsidRPr="003F2733">
              <w:t>Will the project require collection of patient reported outcomes/surveys?</w:t>
            </w:r>
          </w:p>
        </w:tc>
        <w:tc>
          <w:tcPr>
            <w:tcW w:w="567" w:type="dxa"/>
            <w:tcBorders>
              <w:top w:val="single" w:sz="4" w:space="0" w:color="auto"/>
              <w:left w:val="single" w:sz="4" w:space="0" w:color="auto"/>
              <w:bottom w:val="single" w:sz="4" w:space="0" w:color="auto"/>
              <w:right w:val="nil"/>
            </w:tcBorders>
          </w:tcPr>
          <w:p w14:paraId="552AA59D"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0205E63" w14:textId="77777777" w:rsidR="009F7CC3" w:rsidRDefault="009F7CC3" w:rsidP="00C86500">
            <w:pPr>
              <w:spacing w:after="120"/>
            </w:pPr>
          </w:p>
        </w:tc>
      </w:tr>
      <w:tr w:rsidR="009F7CC3" w14:paraId="256A60EB" w14:textId="77777777" w:rsidTr="009A559B">
        <w:tc>
          <w:tcPr>
            <w:tcW w:w="546" w:type="dxa"/>
          </w:tcPr>
          <w:p w14:paraId="11B6497E" w14:textId="77777777" w:rsidR="009F7CC3" w:rsidRDefault="009F7CC3" w:rsidP="00C86500">
            <w:pPr>
              <w:spacing w:after="120"/>
            </w:pPr>
            <w:r>
              <w:t>30.</w:t>
            </w:r>
          </w:p>
        </w:tc>
        <w:tc>
          <w:tcPr>
            <w:tcW w:w="4552" w:type="dxa"/>
            <w:tcBorders>
              <w:right w:val="single" w:sz="4" w:space="0" w:color="auto"/>
            </w:tcBorders>
          </w:tcPr>
          <w:p w14:paraId="192E26D7" w14:textId="77777777" w:rsidR="009F7CC3" w:rsidRPr="003F2733" w:rsidRDefault="009F7CC3" w:rsidP="00C86500">
            <w:pPr>
              <w:spacing w:after="120"/>
            </w:pPr>
            <w:r w:rsidRPr="003F2733">
              <w:t>List the expected outputs and how they will be disseminated</w:t>
            </w:r>
          </w:p>
        </w:tc>
        <w:tc>
          <w:tcPr>
            <w:tcW w:w="567" w:type="dxa"/>
            <w:tcBorders>
              <w:top w:val="single" w:sz="4" w:space="0" w:color="auto"/>
              <w:left w:val="single" w:sz="4" w:space="0" w:color="auto"/>
              <w:bottom w:val="single" w:sz="4" w:space="0" w:color="auto"/>
              <w:right w:val="nil"/>
            </w:tcBorders>
          </w:tcPr>
          <w:p w14:paraId="1A94C533"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585DE6C1" w14:textId="77777777" w:rsidR="009F7CC3" w:rsidRDefault="009F7CC3" w:rsidP="00C86500">
            <w:pPr>
              <w:spacing w:after="120"/>
            </w:pPr>
          </w:p>
        </w:tc>
      </w:tr>
      <w:tr w:rsidR="009F7CC3" w14:paraId="076614B7" w14:textId="77777777" w:rsidTr="009A559B">
        <w:tc>
          <w:tcPr>
            <w:tcW w:w="546" w:type="dxa"/>
          </w:tcPr>
          <w:p w14:paraId="7D14D2F0" w14:textId="77777777" w:rsidR="009F7CC3" w:rsidRDefault="009F7CC3" w:rsidP="00C86500">
            <w:pPr>
              <w:spacing w:after="120"/>
            </w:pPr>
            <w:r>
              <w:lastRenderedPageBreak/>
              <w:t>31.</w:t>
            </w:r>
          </w:p>
        </w:tc>
        <w:tc>
          <w:tcPr>
            <w:tcW w:w="4552" w:type="dxa"/>
            <w:tcBorders>
              <w:right w:val="single" w:sz="4" w:space="0" w:color="auto"/>
            </w:tcBorders>
          </w:tcPr>
          <w:p w14:paraId="22ED2A8A" w14:textId="562CF9B2" w:rsidR="009F7CC3" w:rsidRPr="003F2733" w:rsidRDefault="009F7CC3" w:rsidP="00C86500">
            <w:pPr>
              <w:spacing w:after="120"/>
            </w:pPr>
            <w:r w:rsidRPr="003F2733">
              <w:t>State publication plan for authorship of abstracts and full papers and how it compares to our recommendations</w:t>
            </w:r>
          </w:p>
        </w:tc>
        <w:tc>
          <w:tcPr>
            <w:tcW w:w="567" w:type="dxa"/>
            <w:tcBorders>
              <w:top w:val="single" w:sz="4" w:space="0" w:color="auto"/>
              <w:left w:val="single" w:sz="4" w:space="0" w:color="auto"/>
              <w:bottom w:val="single" w:sz="4" w:space="0" w:color="auto"/>
              <w:right w:val="nil"/>
            </w:tcBorders>
          </w:tcPr>
          <w:p w14:paraId="7F85B271"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471B8FBD" w14:textId="77777777" w:rsidR="009F7CC3" w:rsidRDefault="009F7CC3" w:rsidP="00C86500">
            <w:pPr>
              <w:spacing w:after="120"/>
            </w:pPr>
          </w:p>
        </w:tc>
      </w:tr>
      <w:tr w:rsidR="009F7CC3" w14:paraId="53C9FCDF" w14:textId="77777777" w:rsidTr="009A559B">
        <w:tc>
          <w:tcPr>
            <w:tcW w:w="546" w:type="dxa"/>
          </w:tcPr>
          <w:p w14:paraId="723555CB" w14:textId="77777777" w:rsidR="009F7CC3" w:rsidRDefault="009F7CC3" w:rsidP="00C86500">
            <w:pPr>
              <w:spacing w:after="120"/>
            </w:pPr>
            <w:r>
              <w:t>32.</w:t>
            </w:r>
          </w:p>
        </w:tc>
        <w:tc>
          <w:tcPr>
            <w:tcW w:w="4552" w:type="dxa"/>
            <w:tcBorders>
              <w:right w:val="single" w:sz="4" w:space="0" w:color="auto"/>
            </w:tcBorders>
          </w:tcPr>
          <w:p w14:paraId="0329381F" w14:textId="77777777" w:rsidR="009F7CC3" w:rsidRPr="003F2733" w:rsidRDefault="009F7CC3" w:rsidP="00C86500">
            <w:pPr>
              <w:spacing w:after="120"/>
            </w:pPr>
            <w:r w:rsidRPr="003F2733">
              <w:t>Timeline from start of project to above outputs</w:t>
            </w:r>
          </w:p>
        </w:tc>
        <w:tc>
          <w:tcPr>
            <w:tcW w:w="567" w:type="dxa"/>
            <w:tcBorders>
              <w:top w:val="single" w:sz="4" w:space="0" w:color="auto"/>
              <w:left w:val="single" w:sz="4" w:space="0" w:color="auto"/>
              <w:bottom w:val="single" w:sz="4" w:space="0" w:color="auto"/>
              <w:right w:val="nil"/>
            </w:tcBorders>
          </w:tcPr>
          <w:p w14:paraId="5F5ABBFA"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36EA40F0" w14:textId="77777777" w:rsidR="009F7CC3" w:rsidRDefault="009F7CC3" w:rsidP="00C86500">
            <w:pPr>
              <w:spacing w:after="120"/>
            </w:pPr>
          </w:p>
        </w:tc>
      </w:tr>
      <w:tr w:rsidR="009F7CC3" w14:paraId="1A3C8EA8" w14:textId="77777777" w:rsidTr="009A559B">
        <w:tc>
          <w:tcPr>
            <w:tcW w:w="546" w:type="dxa"/>
          </w:tcPr>
          <w:p w14:paraId="06F6CE02" w14:textId="77777777" w:rsidR="009F7CC3" w:rsidRDefault="009F7CC3" w:rsidP="00C86500">
            <w:pPr>
              <w:spacing w:after="120"/>
            </w:pPr>
            <w:r>
              <w:t>33.</w:t>
            </w:r>
          </w:p>
        </w:tc>
        <w:tc>
          <w:tcPr>
            <w:tcW w:w="4552" w:type="dxa"/>
            <w:tcBorders>
              <w:right w:val="single" w:sz="4" w:space="0" w:color="auto"/>
            </w:tcBorders>
          </w:tcPr>
          <w:p w14:paraId="4549D1C8" w14:textId="77777777" w:rsidR="009F7CC3" w:rsidRPr="003F2733" w:rsidRDefault="009F7CC3" w:rsidP="00C86500">
            <w:pPr>
              <w:spacing w:after="120"/>
            </w:pPr>
            <w:r w:rsidRPr="003F2733">
              <w:t>Planned start date of the project?</w:t>
            </w:r>
          </w:p>
        </w:tc>
        <w:tc>
          <w:tcPr>
            <w:tcW w:w="567" w:type="dxa"/>
            <w:tcBorders>
              <w:top w:val="single" w:sz="4" w:space="0" w:color="auto"/>
              <w:left w:val="single" w:sz="4" w:space="0" w:color="auto"/>
              <w:bottom w:val="single" w:sz="4" w:space="0" w:color="auto"/>
              <w:right w:val="nil"/>
            </w:tcBorders>
          </w:tcPr>
          <w:p w14:paraId="3C01C231"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2A83B828" w14:textId="77777777" w:rsidR="009F7CC3" w:rsidRDefault="009F7CC3" w:rsidP="00C86500">
            <w:pPr>
              <w:spacing w:after="120"/>
            </w:pPr>
          </w:p>
        </w:tc>
      </w:tr>
      <w:tr w:rsidR="009F7CC3" w14:paraId="74E1650D" w14:textId="77777777" w:rsidTr="009A559B">
        <w:tc>
          <w:tcPr>
            <w:tcW w:w="546" w:type="dxa"/>
          </w:tcPr>
          <w:p w14:paraId="20397862" w14:textId="77777777" w:rsidR="009F7CC3" w:rsidRDefault="009F7CC3" w:rsidP="00C86500">
            <w:pPr>
              <w:spacing w:after="120"/>
            </w:pPr>
            <w:r>
              <w:t>34.</w:t>
            </w:r>
          </w:p>
        </w:tc>
        <w:tc>
          <w:tcPr>
            <w:tcW w:w="4552" w:type="dxa"/>
            <w:tcBorders>
              <w:right w:val="single" w:sz="4" w:space="0" w:color="auto"/>
            </w:tcBorders>
          </w:tcPr>
          <w:p w14:paraId="57CC07AA" w14:textId="77777777" w:rsidR="009F7CC3" w:rsidRPr="003F2733" w:rsidRDefault="009F7CC3" w:rsidP="00C86500">
            <w:pPr>
              <w:spacing w:after="120"/>
            </w:pPr>
            <w:r w:rsidRPr="003F2733">
              <w:t>Planned end date of the project?</w:t>
            </w:r>
          </w:p>
        </w:tc>
        <w:tc>
          <w:tcPr>
            <w:tcW w:w="567" w:type="dxa"/>
            <w:tcBorders>
              <w:top w:val="single" w:sz="4" w:space="0" w:color="auto"/>
              <w:left w:val="single" w:sz="4" w:space="0" w:color="auto"/>
              <w:bottom w:val="single" w:sz="4" w:space="0" w:color="auto"/>
              <w:right w:val="nil"/>
            </w:tcBorders>
          </w:tcPr>
          <w:p w14:paraId="494EEA36"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737BF135" w14:textId="77777777" w:rsidR="009F7CC3" w:rsidRDefault="009F7CC3" w:rsidP="00C86500">
            <w:pPr>
              <w:spacing w:after="120"/>
            </w:pPr>
          </w:p>
        </w:tc>
      </w:tr>
      <w:tr w:rsidR="009F7CC3" w14:paraId="7763AA3D" w14:textId="77777777" w:rsidTr="009A559B">
        <w:tc>
          <w:tcPr>
            <w:tcW w:w="546" w:type="dxa"/>
          </w:tcPr>
          <w:p w14:paraId="05EEAC05" w14:textId="77777777" w:rsidR="009F7CC3" w:rsidRDefault="009F7CC3" w:rsidP="00C86500">
            <w:pPr>
              <w:spacing w:after="120"/>
            </w:pPr>
            <w:r>
              <w:t>35.</w:t>
            </w:r>
          </w:p>
        </w:tc>
        <w:tc>
          <w:tcPr>
            <w:tcW w:w="4552" w:type="dxa"/>
            <w:tcBorders>
              <w:right w:val="single" w:sz="4" w:space="0" w:color="auto"/>
            </w:tcBorders>
          </w:tcPr>
          <w:p w14:paraId="3049FEE1" w14:textId="77777777" w:rsidR="009F7CC3" w:rsidRPr="003F2733" w:rsidRDefault="009F7CC3" w:rsidP="00C86500">
            <w:pPr>
              <w:spacing w:after="120"/>
            </w:pPr>
            <w:r w:rsidRPr="003F2733">
              <w:t>Have you received data from the Society for Endocrinology Registries previously? (provide dates and outputs references)</w:t>
            </w:r>
          </w:p>
        </w:tc>
        <w:tc>
          <w:tcPr>
            <w:tcW w:w="567" w:type="dxa"/>
            <w:tcBorders>
              <w:top w:val="single" w:sz="4" w:space="0" w:color="auto"/>
              <w:left w:val="single" w:sz="4" w:space="0" w:color="auto"/>
              <w:bottom w:val="single" w:sz="4" w:space="0" w:color="auto"/>
              <w:right w:val="nil"/>
            </w:tcBorders>
          </w:tcPr>
          <w:p w14:paraId="21C3C705"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6EB6D704" w14:textId="77777777" w:rsidR="009F7CC3" w:rsidRDefault="009F7CC3" w:rsidP="00C86500">
            <w:pPr>
              <w:spacing w:after="120"/>
            </w:pPr>
          </w:p>
        </w:tc>
      </w:tr>
      <w:tr w:rsidR="009F7CC3" w14:paraId="434B90BE" w14:textId="77777777" w:rsidTr="009A559B">
        <w:tc>
          <w:tcPr>
            <w:tcW w:w="546" w:type="dxa"/>
          </w:tcPr>
          <w:p w14:paraId="4586D4AE" w14:textId="77777777" w:rsidR="009F7CC3" w:rsidRDefault="009F7CC3" w:rsidP="00C86500">
            <w:pPr>
              <w:spacing w:after="120"/>
            </w:pPr>
            <w:r>
              <w:t>36.</w:t>
            </w:r>
          </w:p>
        </w:tc>
        <w:tc>
          <w:tcPr>
            <w:tcW w:w="4552" w:type="dxa"/>
            <w:tcBorders>
              <w:right w:val="single" w:sz="4" w:space="0" w:color="auto"/>
            </w:tcBorders>
          </w:tcPr>
          <w:p w14:paraId="6099EE0D" w14:textId="77777777" w:rsidR="009F7CC3" w:rsidRPr="003F2733" w:rsidRDefault="009F7CC3" w:rsidP="00C86500">
            <w:pPr>
              <w:spacing w:after="120"/>
            </w:pPr>
            <w:r w:rsidRPr="003F2733">
              <w:t>Please add any additional/relevant information. The team may contact you for further clarification.</w:t>
            </w:r>
          </w:p>
        </w:tc>
        <w:tc>
          <w:tcPr>
            <w:tcW w:w="567" w:type="dxa"/>
            <w:tcBorders>
              <w:top w:val="single" w:sz="4" w:space="0" w:color="auto"/>
              <w:left w:val="single" w:sz="4" w:space="0" w:color="auto"/>
              <w:bottom w:val="single" w:sz="4" w:space="0" w:color="auto"/>
              <w:right w:val="nil"/>
            </w:tcBorders>
          </w:tcPr>
          <w:p w14:paraId="0C4E5692" w14:textId="77777777" w:rsidR="009F7CC3" w:rsidRDefault="009F7CC3" w:rsidP="00C86500">
            <w:pPr>
              <w:spacing w:after="120"/>
            </w:pPr>
          </w:p>
        </w:tc>
        <w:tc>
          <w:tcPr>
            <w:tcW w:w="4303" w:type="dxa"/>
            <w:tcBorders>
              <w:top w:val="single" w:sz="4" w:space="0" w:color="auto"/>
              <w:left w:val="nil"/>
              <w:bottom w:val="single" w:sz="4" w:space="0" w:color="auto"/>
              <w:right w:val="single" w:sz="4" w:space="0" w:color="auto"/>
            </w:tcBorders>
          </w:tcPr>
          <w:p w14:paraId="345BDD75" w14:textId="77777777" w:rsidR="009F7CC3" w:rsidRDefault="009F7CC3" w:rsidP="00C86500">
            <w:pPr>
              <w:spacing w:after="120"/>
            </w:pPr>
          </w:p>
        </w:tc>
      </w:tr>
      <w:tr w:rsidR="009F7CC3" w14:paraId="2930E9A4" w14:textId="3BB566AE" w:rsidTr="009A559B">
        <w:tc>
          <w:tcPr>
            <w:tcW w:w="546" w:type="dxa"/>
          </w:tcPr>
          <w:p w14:paraId="17CBE782" w14:textId="4B811BE5" w:rsidR="009F7CC3" w:rsidRDefault="009F7CC3" w:rsidP="00E70DBE">
            <w:pPr>
              <w:spacing w:after="120"/>
            </w:pPr>
            <w:r>
              <w:t>37</w:t>
            </w:r>
          </w:p>
        </w:tc>
        <w:tc>
          <w:tcPr>
            <w:tcW w:w="4552" w:type="dxa"/>
            <w:tcBorders>
              <w:right w:val="single" w:sz="4" w:space="0" w:color="auto"/>
            </w:tcBorders>
          </w:tcPr>
          <w:p w14:paraId="047D31C3" w14:textId="36A3CF2A" w:rsidR="009F7CC3" w:rsidRPr="003F2733" w:rsidRDefault="009F7CC3" w:rsidP="00E70DBE">
            <w:pPr>
              <w:spacing w:after="120"/>
            </w:pPr>
            <w:r>
              <w:t xml:space="preserve">Please indicate that you agree to comply by your </w:t>
            </w:r>
            <w:r w:rsidR="00F41743">
              <w:t>organisation’s</w:t>
            </w:r>
            <w:r>
              <w:t xml:space="preserve"> policy on Data Breaches and inform the Society for Endocrinology if there is any breach of data protection whilst the access to the data has been granted.</w:t>
            </w:r>
          </w:p>
        </w:tc>
        <w:tc>
          <w:tcPr>
            <w:tcW w:w="567" w:type="dxa"/>
            <w:tcBorders>
              <w:top w:val="single" w:sz="4" w:space="0" w:color="auto"/>
              <w:left w:val="single" w:sz="4" w:space="0" w:color="auto"/>
              <w:bottom w:val="single" w:sz="4" w:space="0" w:color="auto"/>
              <w:right w:val="nil"/>
            </w:tcBorders>
          </w:tcPr>
          <w:p w14:paraId="3C9B2CD5" w14:textId="77777777" w:rsidR="009F7CC3" w:rsidRDefault="009F7CC3" w:rsidP="00E70DBE">
            <w:pPr>
              <w:spacing w:after="120"/>
            </w:pPr>
            <w:r>
              <w:t>Yes</w:t>
            </w:r>
          </w:p>
          <w:p w14:paraId="51EAAD8D" w14:textId="1636720F" w:rsidR="009F7CC3" w:rsidRDefault="009F7CC3" w:rsidP="00E70DBE">
            <w:pPr>
              <w:spacing w:after="120"/>
            </w:pPr>
            <w:r>
              <w:t>No</w:t>
            </w:r>
          </w:p>
        </w:tc>
        <w:tc>
          <w:tcPr>
            <w:tcW w:w="4303" w:type="dxa"/>
            <w:tcBorders>
              <w:top w:val="single" w:sz="4" w:space="0" w:color="auto"/>
              <w:left w:val="nil"/>
              <w:bottom w:val="single" w:sz="4" w:space="0" w:color="auto"/>
              <w:right w:val="single" w:sz="4" w:space="0" w:color="auto"/>
            </w:tcBorders>
          </w:tcPr>
          <w:sdt>
            <w:sdtPr>
              <w:id w:val="560445452"/>
              <w14:checkbox>
                <w14:checked w14:val="0"/>
                <w14:checkedState w14:val="2612" w14:font="MS Gothic"/>
                <w14:uncheckedState w14:val="2610" w14:font="MS Gothic"/>
              </w14:checkbox>
            </w:sdtPr>
            <w:sdtEndPr/>
            <w:sdtContent>
              <w:p w14:paraId="242235AB" w14:textId="77777777" w:rsidR="009F7CC3" w:rsidRDefault="009F7CC3" w:rsidP="00E70DBE">
                <w:pPr>
                  <w:spacing w:after="120"/>
                </w:pPr>
                <w:r>
                  <w:rPr>
                    <w:rFonts w:ascii="MS Gothic" w:eastAsia="MS Gothic" w:hAnsi="MS Gothic" w:hint="eastAsia"/>
                  </w:rPr>
                  <w:t>☐</w:t>
                </w:r>
              </w:p>
            </w:sdtContent>
          </w:sdt>
          <w:sdt>
            <w:sdtPr>
              <w:id w:val="331811261"/>
              <w14:checkbox>
                <w14:checked w14:val="0"/>
                <w14:checkedState w14:val="2612" w14:font="MS Gothic"/>
                <w14:uncheckedState w14:val="2610" w14:font="MS Gothic"/>
              </w14:checkbox>
            </w:sdtPr>
            <w:sdtEndPr/>
            <w:sdtContent>
              <w:p w14:paraId="4F71A60E" w14:textId="77777777" w:rsidR="009F7CC3" w:rsidRDefault="009F7CC3" w:rsidP="00E70DBE">
                <w:pPr>
                  <w:spacing w:after="120"/>
                </w:pPr>
                <w:r>
                  <w:rPr>
                    <w:rFonts w:ascii="MS Gothic" w:eastAsia="MS Gothic" w:hAnsi="MS Gothic" w:hint="eastAsia"/>
                  </w:rPr>
                  <w:t>☐</w:t>
                </w:r>
              </w:p>
            </w:sdtContent>
          </w:sdt>
          <w:p w14:paraId="3310DE67" w14:textId="2CAC83B1" w:rsidR="009F7CC3" w:rsidRDefault="009F7CC3" w:rsidP="00E70DBE">
            <w:pPr>
              <w:spacing w:after="120"/>
            </w:pPr>
          </w:p>
        </w:tc>
      </w:tr>
      <w:tr w:rsidR="009F7CC3" w14:paraId="17A5AB4B" w14:textId="77777777" w:rsidTr="009A559B">
        <w:tc>
          <w:tcPr>
            <w:tcW w:w="546" w:type="dxa"/>
          </w:tcPr>
          <w:p w14:paraId="5225100F" w14:textId="7490CC1A" w:rsidR="009F7CC3" w:rsidRDefault="009F7CC3" w:rsidP="009F7CC3">
            <w:pPr>
              <w:spacing w:after="120"/>
            </w:pPr>
            <w:r>
              <w:t>38</w:t>
            </w:r>
          </w:p>
        </w:tc>
        <w:tc>
          <w:tcPr>
            <w:tcW w:w="4552" w:type="dxa"/>
            <w:tcBorders>
              <w:right w:val="single" w:sz="4" w:space="0" w:color="auto"/>
            </w:tcBorders>
          </w:tcPr>
          <w:p w14:paraId="72E5EED5" w14:textId="56582319" w:rsidR="009F7CC3" w:rsidRDefault="009F7CC3" w:rsidP="009F7CC3">
            <w:pPr>
              <w:spacing w:after="120"/>
            </w:pPr>
            <w:r>
              <w:t>Confirmation of attachment of ICH GCP Certification of those requiring access</w:t>
            </w:r>
          </w:p>
        </w:tc>
        <w:tc>
          <w:tcPr>
            <w:tcW w:w="567" w:type="dxa"/>
            <w:tcBorders>
              <w:top w:val="single" w:sz="4" w:space="0" w:color="auto"/>
              <w:left w:val="single" w:sz="4" w:space="0" w:color="auto"/>
              <w:bottom w:val="single" w:sz="4" w:space="0" w:color="auto"/>
              <w:right w:val="nil"/>
            </w:tcBorders>
          </w:tcPr>
          <w:p w14:paraId="6996E712" w14:textId="77777777" w:rsidR="009F7CC3" w:rsidRDefault="009F7CC3" w:rsidP="009F7CC3">
            <w:pPr>
              <w:spacing w:after="120"/>
            </w:pPr>
            <w:r>
              <w:t>Yes</w:t>
            </w:r>
          </w:p>
          <w:p w14:paraId="7A0843FB" w14:textId="5D2B83D1" w:rsidR="009F7CC3" w:rsidRDefault="009F7CC3" w:rsidP="009F7CC3">
            <w:pPr>
              <w:spacing w:after="120"/>
            </w:pPr>
            <w:r>
              <w:t>No</w:t>
            </w:r>
          </w:p>
        </w:tc>
        <w:tc>
          <w:tcPr>
            <w:tcW w:w="4303" w:type="dxa"/>
            <w:tcBorders>
              <w:top w:val="single" w:sz="4" w:space="0" w:color="auto"/>
              <w:left w:val="nil"/>
              <w:bottom w:val="single" w:sz="4" w:space="0" w:color="auto"/>
              <w:right w:val="single" w:sz="4" w:space="0" w:color="auto"/>
            </w:tcBorders>
          </w:tcPr>
          <w:sdt>
            <w:sdtPr>
              <w:id w:val="1668439432"/>
              <w14:checkbox>
                <w14:checked w14:val="0"/>
                <w14:checkedState w14:val="2612" w14:font="MS Gothic"/>
                <w14:uncheckedState w14:val="2610" w14:font="MS Gothic"/>
              </w14:checkbox>
            </w:sdtPr>
            <w:sdtEndPr/>
            <w:sdtContent>
              <w:p w14:paraId="696CC071" w14:textId="77777777" w:rsidR="009F7CC3" w:rsidRDefault="009F7CC3" w:rsidP="009F7CC3">
                <w:pPr>
                  <w:spacing w:after="120"/>
                </w:pPr>
                <w:r>
                  <w:rPr>
                    <w:rFonts w:ascii="MS Gothic" w:eastAsia="MS Gothic" w:hAnsi="MS Gothic" w:hint="eastAsia"/>
                  </w:rPr>
                  <w:t>☐</w:t>
                </w:r>
              </w:p>
            </w:sdtContent>
          </w:sdt>
          <w:sdt>
            <w:sdtPr>
              <w:id w:val="-2096927277"/>
              <w14:checkbox>
                <w14:checked w14:val="0"/>
                <w14:checkedState w14:val="2612" w14:font="MS Gothic"/>
                <w14:uncheckedState w14:val="2610" w14:font="MS Gothic"/>
              </w14:checkbox>
            </w:sdtPr>
            <w:sdtEndPr/>
            <w:sdtContent>
              <w:p w14:paraId="0C1F8EE3" w14:textId="77777777" w:rsidR="009F7CC3" w:rsidRDefault="009F7CC3" w:rsidP="009F7CC3">
                <w:pPr>
                  <w:spacing w:after="120"/>
                </w:pPr>
                <w:r>
                  <w:rPr>
                    <w:rFonts w:ascii="MS Gothic" w:eastAsia="MS Gothic" w:hAnsi="MS Gothic" w:hint="eastAsia"/>
                  </w:rPr>
                  <w:t>☐</w:t>
                </w:r>
              </w:p>
            </w:sdtContent>
          </w:sdt>
          <w:p w14:paraId="2A24F5E3" w14:textId="77777777" w:rsidR="009F7CC3" w:rsidRDefault="009F7CC3" w:rsidP="009F7CC3">
            <w:pPr>
              <w:spacing w:after="120"/>
            </w:pPr>
          </w:p>
        </w:tc>
      </w:tr>
    </w:tbl>
    <w:p w14:paraId="44FCAE8D" w14:textId="77777777" w:rsidR="00203A8C" w:rsidRDefault="00203A8C" w:rsidP="00C834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421"/>
      </w:tblGrid>
      <w:tr w:rsidR="00203A8C" w14:paraId="2900F18D" w14:textId="77777777" w:rsidTr="003F2733">
        <w:tc>
          <w:tcPr>
            <w:tcW w:w="2547" w:type="dxa"/>
          </w:tcPr>
          <w:p w14:paraId="2CC135C9" w14:textId="77777777" w:rsidR="00203A8C" w:rsidRDefault="00203A8C" w:rsidP="00C20659">
            <w:r>
              <w:t xml:space="preserve">Form Completed by: </w:t>
            </w:r>
          </w:p>
        </w:tc>
        <w:tc>
          <w:tcPr>
            <w:tcW w:w="7421" w:type="dxa"/>
          </w:tcPr>
          <w:p w14:paraId="0B391C57" w14:textId="77777777" w:rsidR="00203A8C" w:rsidRDefault="00203A8C" w:rsidP="00C20659"/>
        </w:tc>
      </w:tr>
      <w:tr w:rsidR="00203A8C" w14:paraId="664897EC" w14:textId="77777777" w:rsidTr="003F2733">
        <w:tc>
          <w:tcPr>
            <w:tcW w:w="2547" w:type="dxa"/>
          </w:tcPr>
          <w:p w14:paraId="243F6DB0" w14:textId="77777777" w:rsidR="00203A8C" w:rsidRDefault="00203A8C" w:rsidP="00C20659">
            <w:r>
              <w:t xml:space="preserve">Date of Completion: </w:t>
            </w:r>
          </w:p>
        </w:tc>
        <w:tc>
          <w:tcPr>
            <w:tcW w:w="7421" w:type="dxa"/>
          </w:tcPr>
          <w:p w14:paraId="305FCD02" w14:textId="77777777" w:rsidR="00203A8C" w:rsidRDefault="00203A8C" w:rsidP="00C20659"/>
        </w:tc>
      </w:tr>
      <w:tr w:rsidR="00203A8C" w14:paraId="125CACC1" w14:textId="77777777" w:rsidTr="003F2733">
        <w:tc>
          <w:tcPr>
            <w:tcW w:w="2547" w:type="dxa"/>
          </w:tcPr>
          <w:p w14:paraId="09F91C8B" w14:textId="77777777" w:rsidR="00203A8C" w:rsidRDefault="00203A8C" w:rsidP="00C20659">
            <w:r>
              <w:t xml:space="preserve">Date of Submission: </w:t>
            </w:r>
          </w:p>
        </w:tc>
        <w:tc>
          <w:tcPr>
            <w:tcW w:w="7421" w:type="dxa"/>
          </w:tcPr>
          <w:p w14:paraId="34C8B1E0" w14:textId="77777777" w:rsidR="00203A8C" w:rsidRDefault="00203A8C" w:rsidP="00C20659"/>
        </w:tc>
      </w:tr>
    </w:tbl>
    <w:p w14:paraId="085C1B71" w14:textId="77777777" w:rsidR="00C834A2" w:rsidRDefault="00C834A2" w:rsidP="00C834A2">
      <w:r>
        <w:t xml:space="preserve">Please submit this form to </w:t>
      </w:r>
      <w:hyperlink r:id="rId20" w:history="1">
        <w:r w:rsidRPr="006E468B">
          <w:rPr>
            <w:rStyle w:val="Hyperlink"/>
          </w:rPr>
          <w:t>research@endocrinology.org</w:t>
        </w:r>
      </w:hyperlink>
      <w:r>
        <w:t>.  Your request will be considered by the relevant SfE Registry Steering Committee as soon as possible.</w:t>
      </w:r>
    </w:p>
    <w:p w14:paraId="509581C9" w14:textId="747AD742" w:rsidR="00BD77A5" w:rsidRDefault="00C834A2" w:rsidP="00C834A2">
      <w:r>
        <w:t xml:space="preserve">TERMS AND CONDITIONS: If your request is successful you will be required to sign a Data Sharing Agreement (based upon Appendix 2 of the Data Access Policy).  All research outputs must be approved by the relevant </w:t>
      </w:r>
      <w:r w:rsidR="00E70DBE">
        <w:t>R</w:t>
      </w:r>
      <w:r>
        <w:t xml:space="preserve">egistry Steering Committee before dissemination, submission or publication. Your outputs must cite your source of data as per the Publication Policy (appendix 5 of the Data Access policy). Before transferring any </w:t>
      </w:r>
      <w:r w:rsidR="00376AB8">
        <w:t>data,</w:t>
      </w:r>
      <w:r>
        <w:t xml:space="preserve"> the Society will confirm a date for data destruction or return.</w:t>
      </w:r>
      <w:r w:rsidR="00BD77A5">
        <w:t xml:space="preserve"> </w:t>
      </w:r>
    </w:p>
    <w:p w14:paraId="12A0DDA7" w14:textId="77777777" w:rsidR="00BD77A5" w:rsidRDefault="00BD77A5">
      <w:pPr>
        <w:spacing w:after="0"/>
      </w:pPr>
      <w:r>
        <w:br w:type="page"/>
      </w:r>
    </w:p>
    <w:p w14:paraId="40641D25" w14:textId="77777777" w:rsidR="00C20659" w:rsidRDefault="00BD77A5" w:rsidP="00C20659">
      <w:pPr>
        <w:pStyle w:val="Heading1"/>
      </w:pPr>
      <w:bookmarkStart w:id="17" w:name="_Toc163136979"/>
      <w:r>
        <w:lastRenderedPageBreak/>
        <w:t>Appendix 2 – Registries Data Sharing Agreement (DSA</w:t>
      </w:r>
      <w:r w:rsidR="00C20659">
        <w:t>)</w:t>
      </w:r>
      <w:bookmarkEnd w:id="17"/>
    </w:p>
    <w:p w14:paraId="5BBEE73C" w14:textId="77777777" w:rsidR="00C20659" w:rsidRDefault="00C20659" w:rsidP="00C20659"/>
    <w:p w14:paraId="45B9DDFC" w14:textId="22F5A69C" w:rsidR="00C20659" w:rsidRDefault="00C20659" w:rsidP="00C20659">
      <w:r w:rsidRPr="00C20659">
        <w:rPr>
          <w:b/>
        </w:rPr>
        <w:t>THIS AGREEMENT</w:t>
      </w:r>
      <w:r>
        <w:t xml:space="preserve"> is made the ____day of ___________________ 20[    </w:t>
      </w:r>
      <w:r w:rsidR="00376AB8">
        <w:t xml:space="preserve"> ]</w:t>
      </w:r>
    </w:p>
    <w:p w14:paraId="0685E9B0" w14:textId="77777777" w:rsidR="00C20659" w:rsidRPr="00C20659" w:rsidRDefault="00C20659" w:rsidP="00C20659">
      <w:pPr>
        <w:rPr>
          <w:b/>
        </w:rPr>
      </w:pPr>
      <w:r w:rsidRPr="00C20659">
        <w:rPr>
          <w:b/>
        </w:rPr>
        <w:t>BETWEEN:</w:t>
      </w:r>
    </w:p>
    <w:p w14:paraId="5A62AFF2" w14:textId="77777777" w:rsidR="00C20659" w:rsidRDefault="00C20659" w:rsidP="00C20659">
      <w:pPr>
        <w:ind w:left="709" w:hanging="709"/>
      </w:pPr>
      <w:r>
        <w:t>(1)</w:t>
      </w:r>
      <w:r>
        <w:tab/>
      </w:r>
      <w:r w:rsidR="002361E5">
        <w:rPr>
          <w:b/>
        </w:rPr>
        <w:t>SOCIETY FOR ENDOCRINOLOGY (‘Sf</w:t>
      </w:r>
      <w:r w:rsidRPr="00C20659">
        <w:rPr>
          <w:b/>
        </w:rPr>
        <w:t>E’)</w:t>
      </w:r>
      <w:r>
        <w:t xml:space="preserve"> of Starling House, 1600 Parkway North, Bristol, BS34 8YU;</w:t>
      </w:r>
    </w:p>
    <w:p w14:paraId="1704BACC" w14:textId="77777777" w:rsidR="00C20659" w:rsidRDefault="00C20659" w:rsidP="00C20659">
      <w:r>
        <w:t>(2)</w:t>
      </w:r>
      <w:r>
        <w:tab/>
      </w:r>
      <w:r w:rsidRPr="00C20659">
        <w:rPr>
          <w:b/>
        </w:rPr>
        <w:t>[PARTY 2] (‘Applicant’)</w:t>
      </w:r>
      <w:r>
        <w:t xml:space="preserve"> of [ADDRESS]; </w:t>
      </w:r>
    </w:p>
    <w:p w14:paraId="2B7EDC75" w14:textId="77777777" w:rsidR="00C20659" w:rsidRDefault="00C20659" w:rsidP="00C20659">
      <w:r>
        <w:t>(each a "Party" and together the "Parties")</w:t>
      </w:r>
    </w:p>
    <w:p w14:paraId="3CDC3EC2" w14:textId="77777777" w:rsidR="00C20659" w:rsidRPr="00C20659" w:rsidRDefault="00C20659" w:rsidP="00C20659">
      <w:pPr>
        <w:rPr>
          <w:b/>
        </w:rPr>
      </w:pPr>
      <w:r w:rsidRPr="00C20659">
        <w:rPr>
          <w:b/>
        </w:rPr>
        <w:t>BACKGROUND:</w:t>
      </w:r>
    </w:p>
    <w:p w14:paraId="6860728A" w14:textId="77777777" w:rsidR="00C20659" w:rsidRDefault="00C20659" w:rsidP="00C20659">
      <w:pPr>
        <w:ind w:left="709" w:hanging="709"/>
      </w:pPr>
      <w:r>
        <w:t>(A)</w:t>
      </w:r>
      <w:r>
        <w:tab/>
        <w:t>The Applicant wishes to access data</w:t>
      </w:r>
      <w:r w:rsidR="002361E5">
        <w:t xml:space="preserve"> contained within a specified Sf</w:t>
      </w:r>
      <w:r>
        <w:t xml:space="preserve">E data registry for the purposes of medical research. </w:t>
      </w:r>
    </w:p>
    <w:p w14:paraId="5716FEB5" w14:textId="77777777" w:rsidR="00C20659" w:rsidRDefault="00C20659" w:rsidP="00C20659">
      <w:pPr>
        <w:ind w:left="709" w:hanging="709"/>
      </w:pPr>
      <w:r>
        <w:t>(B)</w:t>
      </w:r>
      <w:r>
        <w:tab/>
        <w:t>This Agreement sets out the terms and conditions that shall apply to the sha</w:t>
      </w:r>
      <w:r w:rsidR="002361E5">
        <w:t>ring of registry data between Sf</w:t>
      </w:r>
      <w:r>
        <w:t xml:space="preserve">E and the Applicant. </w:t>
      </w:r>
    </w:p>
    <w:p w14:paraId="28365925" w14:textId="77777777" w:rsidR="00C20659" w:rsidRDefault="00C20659" w:rsidP="00C20659">
      <w:r w:rsidRPr="00C20659">
        <w:rPr>
          <w:b/>
        </w:rPr>
        <w:t>NOW IT IS HEREBY AGREED</w:t>
      </w:r>
      <w:r>
        <w:t xml:space="preserve"> as follows:</w:t>
      </w:r>
    </w:p>
    <w:p w14:paraId="4806AFCA" w14:textId="77777777" w:rsidR="00C20659" w:rsidRPr="00E74B3C" w:rsidRDefault="00C20659" w:rsidP="00E74B3C">
      <w:pPr>
        <w:rPr>
          <w:b/>
        </w:rPr>
      </w:pPr>
      <w:r w:rsidRPr="00E74B3C">
        <w:rPr>
          <w:b/>
        </w:rPr>
        <w:t>Registry data</w:t>
      </w:r>
    </w:p>
    <w:p w14:paraId="4392BFEF" w14:textId="691B6DA4" w:rsidR="00C20659" w:rsidRDefault="00C20659" w:rsidP="00C20659">
      <w:pPr>
        <w:ind w:left="709" w:hanging="709"/>
      </w:pPr>
      <w:r>
        <w:t>1.1.</w:t>
      </w:r>
      <w:r>
        <w:tab/>
        <w:t>The registry collects only minimal patient identifiable information in addition to patient date of birth. Any further patient data</w:t>
      </w:r>
      <w:r w:rsidR="009F7CC3">
        <w:t xml:space="preserve"> required should be detailed in the Data Request Form but is not guaranteed, and can only be obtained via the Society for Endocrinology engaging with the </w:t>
      </w:r>
      <w:r>
        <w:t>reporting clinician</w:t>
      </w:r>
      <w:r w:rsidR="00F96A50">
        <w:t xml:space="preserve"> and patients (if appropriate) via the </w:t>
      </w:r>
      <w:r w:rsidR="00966EC9">
        <w:t>A</w:t>
      </w:r>
      <w:r w:rsidR="00F96A50">
        <w:t>pp</w:t>
      </w:r>
      <w:r>
        <w:t xml:space="preserve">, and will be subject to the information governance framework at the clinician’s medical centre.  </w:t>
      </w:r>
    </w:p>
    <w:p w14:paraId="6FDA0EB6" w14:textId="2C74CA59" w:rsidR="00C20659" w:rsidRDefault="00C20659" w:rsidP="00C20659">
      <w:pPr>
        <w:ind w:left="709" w:hanging="709"/>
      </w:pPr>
      <w:r>
        <w:t>1.2.</w:t>
      </w:r>
      <w:r>
        <w:tab/>
        <w:t xml:space="preserve">Information exchanged as part of research is covered by </w:t>
      </w:r>
      <w:r w:rsidR="009F7CC3">
        <w:t xml:space="preserve">Society for Endocrinology and local </w:t>
      </w:r>
      <w:r>
        <w:t>research governance.</w:t>
      </w:r>
      <w:r>
        <w:tab/>
        <w:t xml:space="preserve"> </w:t>
      </w:r>
    </w:p>
    <w:p w14:paraId="1B73429F" w14:textId="77777777" w:rsidR="00C20659" w:rsidRPr="00E74B3C" w:rsidRDefault="00C20659" w:rsidP="00E74B3C">
      <w:pPr>
        <w:rPr>
          <w:b/>
        </w:rPr>
      </w:pPr>
      <w:r w:rsidRPr="00E74B3C">
        <w:rPr>
          <w:b/>
        </w:rPr>
        <w:t>Principles</w:t>
      </w:r>
    </w:p>
    <w:p w14:paraId="2FCF93D2" w14:textId="3971F299" w:rsidR="00C20659" w:rsidRDefault="00C20659" w:rsidP="00C20659">
      <w:pPr>
        <w:ind w:left="709" w:hanging="709"/>
      </w:pPr>
      <w:r>
        <w:t>1.3.</w:t>
      </w:r>
      <w:r>
        <w:tab/>
        <w:t>Information sharing between the parties shall adhere to the principles of the UK Data Protection Act (2018), the EU GDPR (2018), the UK GDPR (2021) and the ‘Conditions of Ethical Approval’ as stipulated by the Medical Research Ethics Committee (MREC)</w:t>
      </w:r>
      <w:r w:rsidR="00F96A50">
        <w:t xml:space="preserve"> or international equivalent</w:t>
      </w:r>
      <w:r>
        <w:t>.</w:t>
      </w:r>
    </w:p>
    <w:p w14:paraId="4966B2C2" w14:textId="77777777" w:rsidR="00C20659" w:rsidRDefault="002361E5" w:rsidP="00C20659">
      <w:pPr>
        <w:ind w:left="709" w:hanging="709"/>
      </w:pPr>
      <w:r>
        <w:t>1.4.</w:t>
      </w:r>
      <w:r>
        <w:tab/>
        <w:t>Sf</w:t>
      </w:r>
      <w:r w:rsidR="00C20659">
        <w:t>E warrants and undertakes that all Personal Data has been collected, processed and transferred in accordance with the regulations in 2.1 and that it has obtained all the necessary approvals to collect and transfer the data to the Applicant.</w:t>
      </w:r>
    </w:p>
    <w:p w14:paraId="6F23073E" w14:textId="77777777" w:rsidR="00966EC9" w:rsidRDefault="00966EC9" w:rsidP="00E74B3C">
      <w:pPr>
        <w:rPr>
          <w:b/>
        </w:rPr>
      </w:pPr>
    </w:p>
    <w:p w14:paraId="05331032" w14:textId="77777777" w:rsidR="00966EC9" w:rsidRDefault="00966EC9" w:rsidP="00E74B3C">
      <w:pPr>
        <w:rPr>
          <w:b/>
        </w:rPr>
      </w:pPr>
    </w:p>
    <w:p w14:paraId="06442F53" w14:textId="77777777" w:rsidR="00966EC9" w:rsidRDefault="00966EC9" w:rsidP="00E74B3C">
      <w:pPr>
        <w:rPr>
          <w:b/>
        </w:rPr>
      </w:pPr>
    </w:p>
    <w:p w14:paraId="03E4A3A8" w14:textId="70C66601" w:rsidR="00C20659" w:rsidRPr="00E74B3C" w:rsidRDefault="00C20659" w:rsidP="00E74B3C">
      <w:pPr>
        <w:rPr>
          <w:b/>
        </w:rPr>
      </w:pPr>
      <w:r w:rsidRPr="00E74B3C">
        <w:rPr>
          <w:b/>
        </w:rPr>
        <w:lastRenderedPageBreak/>
        <w:t>Conditions of Release of Data</w:t>
      </w:r>
    </w:p>
    <w:p w14:paraId="75671C13" w14:textId="77777777" w:rsidR="00C20659" w:rsidRDefault="00C20659" w:rsidP="00C20659">
      <w:pPr>
        <w:ind w:left="709" w:hanging="709"/>
      </w:pPr>
      <w:r>
        <w:t>1.5.</w:t>
      </w:r>
      <w:r>
        <w:tab/>
        <w:t>The information that will be shared with the Applicant will be trans</w:t>
      </w:r>
      <w:r w:rsidR="002361E5">
        <w:t>ferred by Sf</w:t>
      </w:r>
      <w:r>
        <w:t>E via a secure server database in password protected folders, according to current regulations at the Society for Endocrinology.</w:t>
      </w:r>
    </w:p>
    <w:p w14:paraId="0FAD0003" w14:textId="558F26D9" w:rsidR="00C20659" w:rsidRDefault="00C20659" w:rsidP="00C20659">
      <w:pPr>
        <w:ind w:left="709" w:hanging="709"/>
      </w:pPr>
      <w:r>
        <w:t>1.6.</w:t>
      </w:r>
      <w:r>
        <w:tab/>
        <w:t>Data user access codes will only be provided to named individual users</w:t>
      </w:r>
      <w:r w:rsidR="009F7CC3">
        <w:t xml:space="preserve"> who are stipulated in the Data Request Form</w:t>
      </w:r>
      <w:r>
        <w:t>.</w:t>
      </w:r>
    </w:p>
    <w:p w14:paraId="7AE63759" w14:textId="77777777" w:rsidR="00C20659" w:rsidRDefault="00C20659" w:rsidP="00C20659">
      <w:pPr>
        <w:ind w:left="709" w:hanging="709"/>
      </w:pPr>
      <w:r>
        <w:t>1.7.</w:t>
      </w:r>
      <w:r>
        <w:tab/>
        <w:t>It is the responsibility of the Applicant to ensure th</w:t>
      </w:r>
      <w:r w:rsidR="002361E5">
        <w:t>at access to data provided by Sf</w:t>
      </w:r>
      <w:r>
        <w:t>E is only permitted to the named individual to whom access has been granted, and that there is no sharing of data access codes with any individuals not named on the Data Request Form completed by the Applicant.</w:t>
      </w:r>
    </w:p>
    <w:p w14:paraId="6CE63D60" w14:textId="0ABE3D85" w:rsidR="00C20659" w:rsidRDefault="00C20659" w:rsidP="00C20659">
      <w:pPr>
        <w:ind w:left="709" w:hanging="709"/>
      </w:pPr>
      <w:r>
        <w:t>1.</w:t>
      </w:r>
      <w:r w:rsidR="002361E5">
        <w:t>8.</w:t>
      </w:r>
      <w:r w:rsidR="002361E5">
        <w:tab/>
        <w:t>The Applicant shall notify Sf</w:t>
      </w:r>
      <w:r>
        <w:t>E as soon as reasonably practicable after becoming aware of any unauthorised or accidental access, use or disclosure of the data, and to co-operate with a</w:t>
      </w:r>
      <w:r w:rsidR="002361E5">
        <w:t>ny investigation conducted by Sf</w:t>
      </w:r>
      <w:r>
        <w:t>E in connection with the unauthorised or accidental access, use or disclosure of the data</w:t>
      </w:r>
      <w:r w:rsidR="00771696">
        <w:t xml:space="preserve"> (which, may also be reported to the relevant Ethics committee</w:t>
      </w:r>
      <w:r w:rsidR="00C64675">
        <w:t xml:space="preserve"> by SfE</w:t>
      </w:r>
      <w:r w:rsidR="00771696">
        <w:t xml:space="preserve">). </w:t>
      </w:r>
    </w:p>
    <w:p w14:paraId="57CD893B" w14:textId="3F4ADEA6" w:rsidR="00C20659" w:rsidRDefault="00C20659" w:rsidP="00C20659">
      <w:pPr>
        <w:ind w:left="709" w:hanging="709"/>
      </w:pPr>
      <w:r>
        <w:t>1.9</w:t>
      </w:r>
      <w:r w:rsidR="002361E5">
        <w:t>.</w:t>
      </w:r>
      <w:r w:rsidR="002361E5">
        <w:tab/>
        <w:t>The Applicant should inform Sf</w:t>
      </w:r>
      <w:r>
        <w:t xml:space="preserve">E on a timely basis if any named individual leaves the project, and no longer requires access to the data for the project detailed in the </w:t>
      </w:r>
      <w:r w:rsidR="009F7CC3">
        <w:t>Data Request Form</w:t>
      </w:r>
      <w:r>
        <w:t xml:space="preserve">.   </w:t>
      </w:r>
    </w:p>
    <w:p w14:paraId="031671EE" w14:textId="24EC7685" w:rsidR="00C20659" w:rsidRDefault="00C20659" w:rsidP="00C20659">
      <w:pPr>
        <w:ind w:left="709" w:hanging="709"/>
      </w:pPr>
      <w:r>
        <w:t>1.10.</w:t>
      </w:r>
      <w:r>
        <w:tab/>
        <w:t xml:space="preserve">Data is released for specific projects to specific people. Data cannot be used for other research projects by the same researchers or used by other researchers for any purpose. The </w:t>
      </w:r>
      <w:r w:rsidR="00771696">
        <w:t>use</w:t>
      </w:r>
      <w:r>
        <w:t xml:space="preserve"> of</w:t>
      </w:r>
      <w:r w:rsidR="00771696">
        <w:t xml:space="preserve"> registry</w:t>
      </w:r>
      <w:r>
        <w:t xml:space="preserve"> data </w:t>
      </w:r>
      <w:r w:rsidR="00771696">
        <w:t>by</w:t>
      </w:r>
      <w:r>
        <w:t xml:space="preserve"> other people</w:t>
      </w:r>
      <w:r w:rsidR="00771696">
        <w:t>,</w:t>
      </w:r>
      <w:r>
        <w:t xml:space="preserve"> or </w:t>
      </w:r>
      <w:r w:rsidR="00771696">
        <w:t xml:space="preserve">for </w:t>
      </w:r>
      <w:r>
        <w:t xml:space="preserve">research projects </w:t>
      </w:r>
      <w:r w:rsidR="00771696">
        <w:t xml:space="preserve">not specified on the Data Request Form, </w:t>
      </w:r>
      <w:r>
        <w:t>is not permitted</w:t>
      </w:r>
      <w:r w:rsidR="00771696">
        <w:t xml:space="preserve">, will require </w:t>
      </w:r>
      <w:r w:rsidR="009F7CC3">
        <w:t xml:space="preserve">a </w:t>
      </w:r>
      <w:r w:rsidR="00771696">
        <w:t>separate</w:t>
      </w:r>
      <w:r w:rsidR="009F7CC3">
        <w:t xml:space="preserve"> Data Request Form application</w:t>
      </w:r>
      <w:r w:rsidR="00C64675">
        <w:t>,</w:t>
      </w:r>
      <w:r w:rsidR="009F7CC3">
        <w:t xml:space="preserve"> </w:t>
      </w:r>
      <w:r w:rsidR="00771696">
        <w:t>and may incur an additional administration fee</w:t>
      </w:r>
      <w:r>
        <w:t xml:space="preserve">. </w:t>
      </w:r>
    </w:p>
    <w:p w14:paraId="0F1D749B" w14:textId="1E8B8BC8" w:rsidR="00C20659" w:rsidRDefault="00C20659" w:rsidP="00C20659">
      <w:pPr>
        <w:ind w:left="709" w:hanging="709"/>
      </w:pPr>
      <w:r>
        <w:t>1.11.</w:t>
      </w:r>
      <w:r>
        <w:tab/>
        <w:t>The information to be shared shall be the same as the description of the data requirements specified in the</w:t>
      </w:r>
      <w:r w:rsidR="002323E1">
        <w:t xml:space="preserve"> Data Request Form </w:t>
      </w:r>
      <w:r>
        <w:t>that</w:t>
      </w:r>
      <w:r w:rsidR="002361E5">
        <w:t xml:space="preserve"> was approved by the relevant Sf</w:t>
      </w:r>
      <w:r>
        <w:t xml:space="preserve">E Registry Steering Committee. </w:t>
      </w:r>
    </w:p>
    <w:p w14:paraId="780F1A2D" w14:textId="0A2BF0C5" w:rsidR="00C20659" w:rsidRDefault="00C20659" w:rsidP="00C20659">
      <w:pPr>
        <w:ind w:left="709" w:hanging="709"/>
      </w:pPr>
      <w:r>
        <w:t>1.12.</w:t>
      </w:r>
      <w:r>
        <w:tab/>
        <w:t xml:space="preserve">The Applicant </w:t>
      </w:r>
      <w:r w:rsidR="00A83EAD">
        <w:t xml:space="preserve">will be required to confirm in writing </w:t>
      </w:r>
      <w:r>
        <w:t xml:space="preserve">that </w:t>
      </w:r>
      <w:r w:rsidR="00A83EAD">
        <w:t>they have</w:t>
      </w:r>
      <w:r>
        <w:t xml:space="preserve"> appropriate technical and organisational measures in place to protect any data provided under this Agreement against accidental or unlawful destruction or accidental loss, alteration, unauthorised disclosure or access, and which provide a level of security appropriate to the risk represented by the processing and the nature of the data to be protected.</w:t>
      </w:r>
    </w:p>
    <w:p w14:paraId="766C2635" w14:textId="3D3E28F8" w:rsidR="00C20659" w:rsidRDefault="00C20659" w:rsidP="00C20659">
      <w:pPr>
        <w:ind w:left="709" w:hanging="709"/>
      </w:pPr>
      <w:r>
        <w:t>1.13.</w:t>
      </w:r>
      <w:r>
        <w:tab/>
        <w:t xml:space="preserve">The Applicant </w:t>
      </w:r>
      <w:r w:rsidR="009F7CC3">
        <w:t xml:space="preserve">and institution </w:t>
      </w:r>
      <w:r>
        <w:t xml:space="preserve">confirm that </w:t>
      </w:r>
      <w:r w:rsidR="00A83EAD">
        <w:t xml:space="preserve">they </w:t>
      </w:r>
      <w:r>
        <w:t>ha</w:t>
      </w:r>
      <w:r w:rsidR="00A83EAD">
        <w:t>ve</w:t>
      </w:r>
      <w:r>
        <w:t xml:space="preserve"> confidentiality policies </w:t>
      </w:r>
      <w:r w:rsidR="00A83EAD">
        <w:t xml:space="preserve">(which may be separate policies) </w:t>
      </w:r>
      <w:r>
        <w:t>and that their employees are trained in confidentiality, including citation of the relevant policies</w:t>
      </w:r>
      <w:r w:rsidR="009F7CC3">
        <w:t xml:space="preserve"> as appropriate</w:t>
      </w:r>
      <w:r>
        <w:t>.</w:t>
      </w:r>
    </w:p>
    <w:p w14:paraId="2E02B4D1" w14:textId="77777777" w:rsidR="00C20659" w:rsidRDefault="00C20659" w:rsidP="00C20659">
      <w:pPr>
        <w:ind w:left="709" w:hanging="709"/>
      </w:pPr>
      <w:r>
        <w:t>1.14.</w:t>
      </w:r>
      <w:r>
        <w:tab/>
        <w:t xml:space="preserve">The Applicant must treat any personal data received from the registry with a level of confidentiality that is at least equivalent to the following principles. All personal patient data will be treated as strictly confidential and the Applicant shall have in place procedures so that any third party it authorises to have access to any personal patient data, including employees and (sub)Processors, will respect and maintain the confidentiality and security of the personal data. Any person or organisation acting under the authority of the Applicant, including a </w:t>
      </w:r>
      <w:r>
        <w:lastRenderedPageBreak/>
        <w:t xml:space="preserve">(sub)Processor, shall be obligated to process the personal data only on instructions from the Applicant and in accordance with the permitted use under this Agreement. This provision does not apply to persons authorised or required by law or regulation to have access to the personal data.  </w:t>
      </w:r>
    </w:p>
    <w:p w14:paraId="38DF8F9E" w14:textId="77777777" w:rsidR="00C20659" w:rsidRDefault="00C20659" w:rsidP="00C20659">
      <w:pPr>
        <w:ind w:left="709" w:hanging="709"/>
      </w:pPr>
      <w:r>
        <w:t>1.15.</w:t>
      </w:r>
      <w:r>
        <w:tab/>
        <w:t>The Applicant shall not attempt to re-identify any individual from the data or communicate with any individual re-identified from the data, nor to link or attempt to link the data to other data or information except with specif</w:t>
      </w:r>
      <w:r w:rsidR="002361E5">
        <w:t>ic prior written consent from Sf</w:t>
      </w:r>
      <w:r>
        <w:t>E.</w:t>
      </w:r>
    </w:p>
    <w:p w14:paraId="73956421" w14:textId="77777777" w:rsidR="00C20659" w:rsidRDefault="00C20659" w:rsidP="00C20659">
      <w:pPr>
        <w:ind w:left="709" w:hanging="709"/>
      </w:pPr>
      <w:r>
        <w:t>1.16.</w:t>
      </w:r>
      <w:r>
        <w:tab/>
        <w:t>As a minimu</w:t>
      </w:r>
      <w:r w:rsidR="002361E5">
        <w:t>m, the Applicant will provide Sf</w:t>
      </w:r>
      <w:r>
        <w:t>E with a progress report on a 12-monthly basis while the project is active and a final report at the end of the project.</w:t>
      </w:r>
    </w:p>
    <w:p w14:paraId="452F4DFC" w14:textId="3A1D61C1" w:rsidR="00C20659" w:rsidRDefault="00C20659" w:rsidP="00C20659">
      <w:pPr>
        <w:ind w:left="709" w:hanging="709"/>
      </w:pPr>
      <w:r>
        <w:t>1.17.</w:t>
      </w:r>
      <w:r>
        <w:tab/>
        <w:t>After publication</w:t>
      </w:r>
      <w:r w:rsidR="002361E5">
        <w:t xml:space="preserve"> of the results of the study, Sf</w:t>
      </w:r>
      <w:r>
        <w:t>E will terminate the Applicants access to the secure portal referred to in 3.1 above. The Applicant shall send a copy of the data that has bee</w:t>
      </w:r>
      <w:r w:rsidR="002361E5">
        <w:t>n used for the publication to Sf</w:t>
      </w:r>
      <w:r>
        <w:t>E through the secure systems in clause 3.1. The Applicant should also hold any data that has been used for the publication for 1</w:t>
      </w:r>
      <w:r w:rsidR="009F7CC3">
        <w:t>0</w:t>
      </w:r>
      <w:r>
        <w:t xml:space="preserve"> years after the date of publication after which these data should be destroyed</w:t>
      </w:r>
      <w:r w:rsidR="009F7CC3">
        <w:t>, (per local company policy), unless otherwise stipulated by the applicant or amendments to the Data Request Form.</w:t>
      </w:r>
    </w:p>
    <w:p w14:paraId="42CF8A19" w14:textId="77777777" w:rsidR="00C20659" w:rsidRDefault="00C20659" w:rsidP="00C20659">
      <w:pPr>
        <w:ind w:left="709" w:hanging="709"/>
      </w:pPr>
      <w:r>
        <w:t>1.18.</w:t>
      </w:r>
      <w:r>
        <w:tab/>
        <w:t>As a special precaution for people with rare conditions, the Parties acknowledge and agree that, other than date of birth, the data will be stripped of direct patient identifiers and will therefore by pseudo-anonymised before the Applicant is given access to it for research purposes.  However, the Parties both further acknowledge and agree that circumstances may arise in which it may be or become possible to identify one or more living individuals from the data contained within the data set in which case such data shall be or become personal data for the purposes of data protection laws (“Personal Data”).  If any such circumstance should arise, either the Party first becoming so aware shall notify the other Party and the Parties shall discuss how to proceed or the Applicant may reject such data until it is pseudo-anonymised such that it is not possible to identify one or more living individuals.</w:t>
      </w:r>
    </w:p>
    <w:p w14:paraId="2EF1BAD9" w14:textId="77777777" w:rsidR="00C20659" w:rsidRDefault="00C20659" w:rsidP="00C20659">
      <w:pPr>
        <w:ind w:left="709" w:hanging="709"/>
      </w:pPr>
      <w:r>
        <w:t>1.19.</w:t>
      </w:r>
      <w:r>
        <w:tab/>
        <w:t>In the event that a patient or participating centre withdraws its consent or objects to the use of the data, the Applican</w:t>
      </w:r>
      <w:r w:rsidR="002361E5">
        <w:t>t will, at the instruction of Sf</w:t>
      </w:r>
      <w:r>
        <w:t>E, immediately return or destroy the data from that particular data source.</w:t>
      </w:r>
    </w:p>
    <w:p w14:paraId="0A99E18A" w14:textId="42E139A9" w:rsidR="00C20659" w:rsidRDefault="00C20659" w:rsidP="00C20659">
      <w:pPr>
        <w:ind w:left="709" w:hanging="709"/>
      </w:pPr>
      <w:r>
        <w:t>1.20.</w:t>
      </w:r>
      <w:r>
        <w:tab/>
        <w:t>If either Party becomes aware of a personal</w:t>
      </w:r>
      <w:r w:rsidR="00231845">
        <w:t xml:space="preserve"> or institutional/company</w:t>
      </w:r>
      <w:r>
        <w:t xml:space="preserve"> data breach, that Party shall promptly notify the other Party. In such a case, Parties will fully cooperate with each other to remedy the personal data breach, fulfil the (statutory) notification obligations timely and cure the damages. A personal data breach refers to: 1) a Personal data breach according to applicable law in the territory where the Data is treated, and 2) a Personal data breach as meant in articles 33 and 34 of the European General Data Protection Regulation.</w:t>
      </w:r>
    </w:p>
    <w:p w14:paraId="4C6E2248" w14:textId="77777777" w:rsidR="00C20659" w:rsidRDefault="00C20659" w:rsidP="00C20659">
      <w:pPr>
        <w:ind w:left="709" w:hanging="709"/>
      </w:pPr>
      <w:r>
        <w:t>1.21.</w:t>
      </w:r>
      <w:r>
        <w:tab/>
        <w:t xml:space="preserve">If the Applicant is based in a country that is not within the United Kingdom and does not have United Kingdom “adequacy regulation” as listed on: </w:t>
      </w:r>
      <w:hyperlink r:id="rId21" w:anchor="adequacy" w:history="1">
        <w:r w:rsidRPr="000A775B">
          <w:rPr>
            <w:rStyle w:val="Hyperlink"/>
          </w:rPr>
          <w:t>https://ico.org.uk/for-organisations/guide-to-data-protection/guide-to-the-general-data-protection-regulation-gdpr/international-transfers-after-uk-exit/#adequacy</w:t>
        </w:r>
      </w:hyperlink>
      <w:r>
        <w:t xml:space="preserve"> </w:t>
      </w:r>
    </w:p>
    <w:p w14:paraId="3825F202" w14:textId="77777777" w:rsidR="00C20659" w:rsidRDefault="00C20659" w:rsidP="00C20659">
      <w:pPr>
        <w:ind w:left="709"/>
      </w:pPr>
      <w:r>
        <w:t xml:space="preserve">The international data transfer addendum set out in Annex 1 is hereby incorporated into this Agreement. </w:t>
      </w:r>
      <w:hyperlink r:id="rId22" w:history="1">
        <w:r w:rsidRPr="000A775B">
          <w:rPr>
            <w:rStyle w:val="Hyperlink"/>
          </w:rPr>
          <w:t>https://ico.org.uk/media/for-organisations/documents/4019536/idta.docx</w:t>
        </w:r>
      </w:hyperlink>
      <w:r>
        <w:t xml:space="preserve"> </w:t>
      </w:r>
    </w:p>
    <w:p w14:paraId="22C20601" w14:textId="77777777" w:rsidR="00C20659" w:rsidRPr="00C20659" w:rsidRDefault="00C20659" w:rsidP="00C20659">
      <w:pPr>
        <w:ind w:left="709" w:hanging="709"/>
      </w:pPr>
      <w:r>
        <w:lastRenderedPageBreak/>
        <w:t>1.22.</w:t>
      </w:r>
      <w:r>
        <w:tab/>
      </w:r>
      <w:r w:rsidRPr="00C20659">
        <w:t>At the end of the specified data sharing period the Applicant will be required to complete a Data Sharing Agreement</w:t>
      </w:r>
      <w:r w:rsidR="00ED74C7">
        <w:t xml:space="preserve"> Termination form </w:t>
      </w:r>
      <w:r w:rsidR="002606B8">
        <w:t xml:space="preserve">– see Appendix 3 </w:t>
      </w:r>
      <w:r w:rsidR="00ED74C7">
        <w:t>(</w:t>
      </w:r>
      <w:r w:rsidR="002606B8">
        <w:t xml:space="preserve">also </w:t>
      </w:r>
      <w:r w:rsidR="00ED74C7">
        <w:t xml:space="preserve">available at </w:t>
      </w:r>
      <w:hyperlink r:id="rId23" w:history="1">
        <w:r w:rsidR="00ED74C7" w:rsidRPr="000A775B">
          <w:rPr>
            <w:rStyle w:val="Hyperlink"/>
          </w:rPr>
          <w:t>https://www.endocrinology.org/clinical-practice/data-registries</w:t>
        </w:r>
      </w:hyperlink>
      <w:r w:rsidR="00ED74C7">
        <w:t>)</w:t>
      </w:r>
      <w:r w:rsidRPr="00C20659">
        <w:t xml:space="preserve">. </w:t>
      </w:r>
    </w:p>
    <w:p w14:paraId="086D0E96" w14:textId="77777777" w:rsidR="00C20659" w:rsidRPr="00E74B3C" w:rsidRDefault="00C20659" w:rsidP="00E74B3C">
      <w:pPr>
        <w:rPr>
          <w:b/>
        </w:rPr>
      </w:pPr>
      <w:r w:rsidRPr="00E74B3C">
        <w:rPr>
          <w:b/>
        </w:rPr>
        <w:t>Acknowledgement and attribution of publications</w:t>
      </w:r>
    </w:p>
    <w:p w14:paraId="5AD54923" w14:textId="1423F76D" w:rsidR="00C20659" w:rsidRDefault="002361E5" w:rsidP="00ED74C7">
      <w:pPr>
        <w:ind w:left="709" w:hanging="709"/>
      </w:pPr>
      <w:r>
        <w:t>1.23.</w:t>
      </w:r>
      <w:r>
        <w:tab/>
        <w:t>If data from an Sf</w:t>
      </w:r>
      <w:r w:rsidR="00C20659">
        <w:t xml:space="preserve">E registry is used for a report or publication without any statistical or clinical input from the </w:t>
      </w:r>
      <w:r w:rsidR="00BE47FE">
        <w:t>Society Office</w:t>
      </w:r>
      <w:r w:rsidR="00C20659">
        <w:t xml:space="preserve">, </w:t>
      </w:r>
      <w:r w:rsidR="00396D29">
        <w:t>the Society</w:t>
      </w:r>
      <w:r w:rsidR="00C20659">
        <w:t xml:space="preserve"> requires the user of the data to acknowledge the data source along with a disclaimer. </w:t>
      </w:r>
      <w:r w:rsidR="00231845">
        <w:t>‘The Society for Endocrinology has not reviewed this document and therefore this document may not reflect the views and opinions of the Society for Endocrinology’</w:t>
      </w:r>
    </w:p>
    <w:p w14:paraId="4363A9D8" w14:textId="77777777" w:rsidR="00C20659" w:rsidRDefault="00C20659" w:rsidP="00ED74C7">
      <w:pPr>
        <w:ind w:left="709" w:hanging="709"/>
      </w:pPr>
      <w:r>
        <w:t>1.24.</w:t>
      </w:r>
      <w:r>
        <w:tab/>
        <w:t xml:space="preserve">In any publication or report where statistical or analytical support, or clinical </w:t>
      </w:r>
      <w:r w:rsidR="002361E5">
        <w:t>input, has been required from Sf</w:t>
      </w:r>
      <w:r>
        <w:t>E</w:t>
      </w:r>
      <w:r w:rsidR="002361E5">
        <w:t xml:space="preserve"> the relevant contributors at Sf</w:t>
      </w:r>
      <w:r>
        <w:t xml:space="preserve">E must be included as co-authors. </w:t>
      </w:r>
    </w:p>
    <w:p w14:paraId="61778D0C" w14:textId="42D7DADA" w:rsidR="00C20659" w:rsidRDefault="00C20659" w:rsidP="00ED74C7">
      <w:pPr>
        <w:ind w:left="709" w:hanging="709"/>
      </w:pPr>
      <w:r>
        <w:t>1.25.</w:t>
      </w:r>
      <w:r>
        <w:tab/>
        <w:t xml:space="preserve">The current recommended text for use in publications is available in Appendix </w:t>
      </w:r>
      <w:r w:rsidR="001459FF">
        <w:t>5</w:t>
      </w:r>
      <w:r>
        <w:t xml:space="preserve"> (Data Publications Policy) of the Society Data Access Policy.  </w:t>
      </w:r>
    </w:p>
    <w:p w14:paraId="426AED6F" w14:textId="54B2251E" w:rsidR="00C20659" w:rsidRDefault="00C20659" w:rsidP="00ED74C7">
      <w:pPr>
        <w:ind w:left="709" w:hanging="709"/>
      </w:pPr>
      <w:r>
        <w:t>1.26.</w:t>
      </w:r>
      <w:r>
        <w:tab/>
        <w:t xml:space="preserve">Any document to be distributed or published must be sent to the </w:t>
      </w:r>
      <w:r w:rsidR="00DE5F33">
        <w:t xml:space="preserve">Society </w:t>
      </w:r>
      <w:r w:rsidR="00CF6B48">
        <w:t>O</w:t>
      </w:r>
      <w:r w:rsidR="00DE5F33">
        <w:t>ffice</w:t>
      </w:r>
      <w:r w:rsidR="00CF6B48">
        <w:t xml:space="preserve"> </w:t>
      </w:r>
      <w:r>
        <w:t>for review well in advance</w:t>
      </w:r>
      <w:r w:rsidR="00231845">
        <w:t>, (at least 4 weeks)</w:t>
      </w:r>
      <w:r>
        <w:t xml:space="preserve"> of the distribution</w:t>
      </w:r>
      <w:r w:rsidR="00231845">
        <w:t>,</w:t>
      </w:r>
      <w:r>
        <w:t xml:space="preserve"> publication date</w:t>
      </w:r>
      <w:r w:rsidR="00231845">
        <w:t>, or submission data</w:t>
      </w:r>
      <w:r>
        <w:t xml:space="preserve">. A copy of published research based on data from the Registry, must also be sent to the </w:t>
      </w:r>
      <w:r w:rsidR="00DE5F33">
        <w:t xml:space="preserve">Society </w:t>
      </w:r>
      <w:r w:rsidR="00376AB8">
        <w:t>Office.</w:t>
      </w:r>
    </w:p>
    <w:p w14:paraId="1B23A0A1" w14:textId="77777777" w:rsidR="00C20659" w:rsidRDefault="00C20659" w:rsidP="00ED74C7">
      <w:pPr>
        <w:ind w:left="709" w:hanging="709"/>
      </w:pPr>
      <w:r>
        <w:t>1.27.</w:t>
      </w:r>
      <w:r>
        <w:tab/>
        <w:t>The source and data handling methods should be made clear in the ‘Methods’ section of any published work. The abstract should also incl</w:t>
      </w:r>
      <w:r w:rsidR="002361E5">
        <w:t>ude reference to the relevant Sf</w:t>
      </w:r>
      <w:r>
        <w:t xml:space="preserve">E Registry, which will allow for searching publications based upon these key words. </w:t>
      </w:r>
    </w:p>
    <w:p w14:paraId="40D60A25" w14:textId="77777777" w:rsidR="00C20659" w:rsidRPr="00E74B3C" w:rsidRDefault="00C20659" w:rsidP="00E74B3C">
      <w:pPr>
        <w:rPr>
          <w:b/>
        </w:rPr>
      </w:pPr>
      <w:r w:rsidRPr="00E74B3C">
        <w:rPr>
          <w:b/>
        </w:rPr>
        <w:t>Liability</w:t>
      </w:r>
      <w:r w:rsidRPr="00E74B3C">
        <w:rPr>
          <w:b/>
        </w:rPr>
        <w:tab/>
      </w:r>
    </w:p>
    <w:p w14:paraId="6E4FF61F" w14:textId="77777777" w:rsidR="00C20659" w:rsidRDefault="00C20659" w:rsidP="00ED74C7">
      <w:r>
        <w:t>Except to the extent prohibited by law, the Applicant assumes all direct liability for damages which may arise from its receipt, u</w:t>
      </w:r>
      <w:r w:rsidR="002361E5">
        <w:t>se, storage or destruction of SfE Registry data. Sf</w:t>
      </w:r>
      <w:r>
        <w:t>E will not be liable to the Applicant for any use made of the data, including any loss, claim or demand made by the Applicant or made against the Applicant by a third party, due to or arising from the use, storage or disposal of the data by the Applicant, except to the extent permitted by law when caused by the gross negli</w:t>
      </w:r>
      <w:r w:rsidR="002361E5">
        <w:t>gence or wilful misconduct of Sf</w:t>
      </w:r>
      <w:r>
        <w:t>E.</w:t>
      </w:r>
    </w:p>
    <w:p w14:paraId="0CA1E472" w14:textId="77777777" w:rsidR="00C20659" w:rsidRDefault="002361E5" w:rsidP="00ED74C7">
      <w:r>
        <w:t>The Applicant accepts that Sf</w:t>
      </w:r>
      <w:r w:rsidR="00C20659">
        <w:t>E does not routinely check the ac</w:t>
      </w:r>
      <w:r>
        <w:t>curacy or validity of data in Sf</w:t>
      </w:r>
      <w:r w:rsidR="00C20659">
        <w:t>E Registries and, therefore, does not warrant that the information in the directory is accurate or reflect true patient data. To the extent</w:t>
      </w:r>
      <w:r>
        <w:t xml:space="preserve"> permitted by law, therefore, Sf</w:t>
      </w:r>
      <w:r w:rsidR="00C20659">
        <w:t xml:space="preserve">E will not be liable, in any way whatsoever, for any loss or damage suffered by the Applicant through the use of inaccurate or erroneous data. </w:t>
      </w:r>
    </w:p>
    <w:p w14:paraId="39C5B385" w14:textId="77777777" w:rsidR="00C20659" w:rsidRPr="00E74B3C" w:rsidRDefault="00C20659" w:rsidP="00E74B3C">
      <w:pPr>
        <w:rPr>
          <w:b/>
        </w:rPr>
      </w:pPr>
      <w:r w:rsidRPr="00E74B3C">
        <w:rPr>
          <w:b/>
        </w:rPr>
        <w:t>Agreement formalities</w:t>
      </w:r>
    </w:p>
    <w:p w14:paraId="7084C171" w14:textId="77777777" w:rsidR="00C20659" w:rsidRDefault="00C20659" w:rsidP="00ED74C7">
      <w:r>
        <w:t>This Agreement shall be signed</w:t>
      </w:r>
      <w:r w:rsidR="002361E5">
        <w:t xml:space="preserve"> by the Chair of the relevant Sf</w:t>
      </w:r>
      <w:r>
        <w:t>E Registry Steering Committee and a suitably authorised office holder of the Applicant organisation.</w:t>
      </w:r>
    </w:p>
    <w:p w14:paraId="2FFDFADF" w14:textId="77777777" w:rsidR="00C20659" w:rsidRDefault="00ED74C7" w:rsidP="00ED74C7">
      <w:r>
        <w:t>Period of agreement:</w:t>
      </w:r>
    </w:p>
    <w:p w14:paraId="3D8E095D" w14:textId="77777777" w:rsidR="00C20659" w:rsidRDefault="00C20659" w:rsidP="00ED74C7">
      <w:pPr>
        <w:pStyle w:val="ListParagraph"/>
        <w:ind w:left="426"/>
      </w:pPr>
      <w:r>
        <w:t>•</w:t>
      </w:r>
      <w:r>
        <w:tab/>
        <w:t>Data shared and available for analysis: [dd/mm/</w:t>
      </w:r>
      <w:r w:rsidR="00ED74C7">
        <w:t>yy</w:t>
      </w:r>
      <w:r>
        <w:t>yy] to [dd/mm/</w:t>
      </w:r>
      <w:r w:rsidR="00ED74C7">
        <w:t>yy</w:t>
      </w:r>
      <w:r>
        <w:t>yy]</w:t>
      </w:r>
    </w:p>
    <w:p w14:paraId="0D0A1226" w14:textId="77777777" w:rsidR="00C20659" w:rsidRDefault="00C20659" w:rsidP="00ED74C7">
      <w:pPr>
        <w:pStyle w:val="ListParagraph"/>
        <w:ind w:left="426"/>
      </w:pPr>
      <w:r>
        <w:t>•</w:t>
      </w:r>
      <w:r>
        <w:tab/>
        <w:t>Data shared for storage only: [dd/mm/</w:t>
      </w:r>
      <w:r w:rsidR="00ED74C7">
        <w:t>yy</w:t>
      </w:r>
      <w:r>
        <w:t>yy] to [dd/mm/</w:t>
      </w:r>
      <w:r w:rsidR="00ED74C7">
        <w:t>yy</w:t>
      </w:r>
      <w:r>
        <w:t>yy]</w:t>
      </w:r>
    </w:p>
    <w:p w14:paraId="5666FBB8" w14:textId="77777777" w:rsidR="00C20659" w:rsidRDefault="00C20659" w:rsidP="00C20659">
      <w:r>
        <w:lastRenderedPageBreak/>
        <w:t>Review date: [dd/mm/</w:t>
      </w:r>
      <w:r w:rsidR="00ED74C7">
        <w:t>yy</w:t>
      </w:r>
      <w:r>
        <w:t>yy]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55"/>
      </w:tblGrid>
      <w:tr w:rsidR="00E74B3C" w14:paraId="1BAF3E42" w14:textId="77777777" w:rsidTr="00E74B3C">
        <w:tc>
          <w:tcPr>
            <w:tcW w:w="9968" w:type="dxa"/>
            <w:gridSpan w:val="2"/>
          </w:tcPr>
          <w:p w14:paraId="47D3995C" w14:textId="77777777" w:rsidR="00E74B3C" w:rsidRDefault="00E74B3C" w:rsidP="00C20659">
            <w:r w:rsidRPr="00E74B3C">
              <w:rPr>
                <w:b/>
              </w:rPr>
              <w:t>Signed on behalf of Society for Endocrinology by:</w:t>
            </w:r>
          </w:p>
        </w:tc>
      </w:tr>
      <w:tr w:rsidR="00ED74C7" w14:paraId="3E277FEB" w14:textId="77777777" w:rsidTr="00E74B3C">
        <w:tc>
          <w:tcPr>
            <w:tcW w:w="1413" w:type="dxa"/>
          </w:tcPr>
          <w:p w14:paraId="2CF429AB" w14:textId="77777777" w:rsidR="00ED74C7" w:rsidRDefault="00E74B3C" w:rsidP="00E74B3C">
            <w:pPr>
              <w:spacing w:after="0"/>
            </w:pPr>
            <w:r>
              <w:t xml:space="preserve">Name: </w:t>
            </w:r>
          </w:p>
          <w:p w14:paraId="2DEF47BC" w14:textId="77777777" w:rsidR="00E74B3C" w:rsidRPr="00E74B3C" w:rsidRDefault="00E74B3C" w:rsidP="00E74B3C">
            <w:pPr>
              <w:rPr>
                <w:sz w:val="20"/>
                <w:szCs w:val="20"/>
              </w:rPr>
            </w:pPr>
            <w:r w:rsidRPr="00E74B3C">
              <w:rPr>
                <w:sz w:val="20"/>
                <w:szCs w:val="20"/>
              </w:rPr>
              <w:t>(please print)</w:t>
            </w:r>
          </w:p>
        </w:tc>
        <w:tc>
          <w:tcPr>
            <w:tcW w:w="8555" w:type="dxa"/>
          </w:tcPr>
          <w:p w14:paraId="4F9FBD21" w14:textId="77777777" w:rsidR="00ED74C7" w:rsidRDefault="00ED74C7" w:rsidP="00C20659"/>
        </w:tc>
      </w:tr>
      <w:tr w:rsidR="00ED74C7" w14:paraId="031281C1" w14:textId="77777777" w:rsidTr="00E74B3C">
        <w:tc>
          <w:tcPr>
            <w:tcW w:w="1413" w:type="dxa"/>
          </w:tcPr>
          <w:p w14:paraId="0C63278D" w14:textId="77777777" w:rsidR="00ED74C7" w:rsidRDefault="00E74B3C" w:rsidP="00C20659">
            <w:r>
              <w:t xml:space="preserve">Role: </w:t>
            </w:r>
          </w:p>
        </w:tc>
        <w:tc>
          <w:tcPr>
            <w:tcW w:w="8555" w:type="dxa"/>
          </w:tcPr>
          <w:p w14:paraId="52F10325" w14:textId="77777777" w:rsidR="00ED74C7" w:rsidRDefault="00E74B3C" w:rsidP="00C20659">
            <w:r w:rsidRPr="00E74B3C">
              <w:t>Chair of Society for Endocrinology Registry Steering Committee</w:t>
            </w:r>
          </w:p>
        </w:tc>
      </w:tr>
      <w:tr w:rsidR="00ED74C7" w14:paraId="66B9BFEA" w14:textId="77777777" w:rsidTr="00E74B3C">
        <w:tc>
          <w:tcPr>
            <w:tcW w:w="1413" w:type="dxa"/>
          </w:tcPr>
          <w:p w14:paraId="78087E62" w14:textId="77777777" w:rsidR="00ED74C7" w:rsidRDefault="00E74B3C" w:rsidP="00C20659">
            <w:r>
              <w:t xml:space="preserve">Signature: </w:t>
            </w:r>
          </w:p>
          <w:p w14:paraId="78E57B6C" w14:textId="77777777" w:rsidR="00E74B3C" w:rsidRDefault="00E74B3C" w:rsidP="00C20659"/>
        </w:tc>
        <w:tc>
          <w:tcPr>
            <w:tcW w:w="8555" w:type="dxa"/>
          </w:tcPr>
          <w:p w14:paraId="16BCDEBD" w14:textId="77777777" w:rsidR="00ED74C7" w:rsidRDefault="00ED74C7" w:rsidP="00C20659"/>
        </w:tc>
      </w:tr>
      <w:tr w:rsidR="00ED74C7" w14:paraId="51D4A5E3" w14:textId="77777777" w:rsidTr="00E74B3C">
        <w:tc>
          <w:tcPr>
            <w:tcW w:w="1413" w:type="dxa"/>
          </w:tcPr>
          <w:p w14:paraId="7F046A3E" w14:textId="77777777" w:rsidR="00ED74C7" w:rsidRDefault="00E74B3C" w:rsidP="00C20659">
            <w:r>
              <w:t xml:space="preserve">Date: </w:t>
            </w:r>
          </w:p>
        </w:tc>
        <w:tc>
          <w:tcPr>
            <w:tcW w:w="8555" w:type="dxa"/>
          </w:tcPr>
          <w:p w14:paraId="676CBE7D" w14:textId="77777777" w:rsidR="00ED74C7" w:rsidRDefault="00ED74C7" w:rsidP="00C20659"/>
        </w:tc>
      </w:tr>
      <w:tr w:rsidR="00E74B3C" w14:paraId="4C2F6E99" w14:textId="77777777" w:rsidTr="00E74B3C">
        <w:tc>
          <w:tcPr>
            <w:tcW w:w="9968" w:type="dxa"/>
            <w:gridSpan w:val="2"/>
          </w:tcPr>
          <w:p w14:paraId="65ECE58E" w14:textId="77777777" w:rsidR="00E74B3C" w:rsidRPr="00E74B3C" w:rsidRDefault="00E74B3C" w:rsidP="00C20659">
            <w:pPr>
              <w:rPr>
                <w:b/>
              </w:rPr>
            </w:pPr>
            <w:r w:rsidRPr="00E74B3C">
              <w:rPr>
                <w:b/>
              </w:rPr>
              <w:t>Signed on behalf of the Applicant by:</w:t>
            </w:r>
          </w:p>
        </w:tc>
      </w:tr>
      <w:tr w:rsidR="00E74B3C" w14:paraId="557CC76D" w14:textId="77777777" w:rsidTr="00E74B3C">
        <w:tc>
          <w:tcPr>
            <w:tcW w:w="1413" w:type="dxa"/>
          </w:tcPr>
          <w:p w14:paraId="52B2C0A4" w14:textId="77777777" w:rsidR="00E74B3C" w:rsidRDefault="00E74B3C" w:rsidP="00E74B3C">
            <w:pPr>
              <w:spacing w:after="0"/>
            </w:pPr>
            <w:r>
              <w:t xml:space="preserve">Name: </w:t>
            </w:r>
          </w:p>
          <w:p w14:paraId="2E954459" w14:textId="77777777" w:rsidR="00E74B3C" w:rsidRPr="00E74B3C" w:rsidRDefault="00E74B3C" w:rsidP="00E74B3C">
            <w:pPr>
              <w:rPr>
                <w:sz w:val="20"/>
                <w:szCs w:val="20"/>
              </w:rPr>
            </w:pPr>
            <w:r w:rsidRPr="00E74B3C">
              <w:rPr>
                <w:sz w:val="20"/>
                <w:szCs w:val="20"/>
              </w:rPr>
              <w:t>(please print)</w:t>
            </w:r>
          </w:p>
        </w:tc>
        <w:tc>
          <w:tcPr>
            <w:tcW w:w="8555" w:type="dxa"/>
          </w:tcPr>
          <w:p w14:paraId="2F6BCBF8" w14:textId="77777777" w:rsidR="00E74B3C" w:rsidRDefault="00E74B3C" w:rsidP="00E74B3C"/>
        </w:tc>
      </w:tr>
      <w:tr w:rsidR="00E74B3C" w14:paraId="1EC78E70" w14:textId="77777777" w:rsidTr="00E74B3C">
        <w:tc>
          <w:tcPr>
            <w:tcW w:w="1413" w:type="dxa"/>
          </w:tcPr>
          <w:p w14:paraId="2EFB94BD" w14:textId="77777777" w:rsidR="00E74B3C" w:rsidRDefault="00E74B3C" w:rsidP="00E74B3C">
            <w:r>
              <w:t xml:space="preserve">Role: </w:t>
            </w:r>
          </w:p>
        </w:tc>
        <w:tc>
          <w:tcPr>
            <w:tcW w:w="8555" w:type="dxa"/>
          </w:tcPr>
          <w:p w14:paraId="0485DEF8" w14:textId="77777777" w:rsidR="00E74B3C" w:rsidRDefault="00E74B3C" w:rsidP="00E74B3C"/>
        </w:tc>
      </w:tr>
      <w:tr w:rsidR="00E74B3C" w14:paraId="33807366" w14:textId="77777777" w:rsidTr="00E74B3C">
        <w:tc>
          <w:tcPr>
            <w:tcW w:w="1413" w:type="dxa"/>
          </w:tcPr>
          <w:p w14:paraId="466D9EA7" w14:textId="1FDB25B0" w:rsidR="00E74B3C" w:rsidRDefault="00E74B3C" w:rsidP="00E74B3C">
            <w:r>
              <w:t xml:space="preserve">Signature: </w:t>
            </w:r>
          </w:p>
        </w:tc>
        <w:tc>
          <w:tcPr>
            <w:tcW w:w="8555" w:type="dxa"/>
          </w:tcPr>
          <w:p w14:paraId="766C4ADA" w14:textId="77777777" w:rsidR="00E74B3C" w:rsidRDefault="00E74B3C" w:rsidP="00E74B3C"/>
        </w:tc>
      </w:tr>
      <w:tr w:rsidR="00E74B3C" w14:paraId="20C8F83C" w14:textId="77777777" w:rsidTr="00E74B3C">
        <w:tc>
          <w:tcPr>
            <w:tcW w:w="1413" w:type="dxa"/>
          </w:tcPr>
          <w:p w14:paraId="61D7E09A" w14:textId="151C3B5F" w:rsidR="00E74B3C" w:rsidRDefault="00E74B3C" w:rsidP="00E74B3C">
            <w:r>
              <w:t xml:space="preserve">Date: </w:t>
            </w:r>
          </w:p>
        </w:tc>
        <w:tc>
          <w:tcPr>
            <w:tcW w:w="8555" w:type="dxa"/>
          </w:tcPr>
          <w:p w14:paraId="31D057E7" w14:textId="77777777" w:rsidR="00E74B3C" w:rsidRDefault="00E74B3C" w:rsidP="00E74B3C"/>
        </w:tc>
      </w:tr>
    </w:tbl>
    <w:p w14:paraId="58E7DBEE" w14:textId="77777777" w:rsidR="00C20659" w:rsidRDefault="00C20659" w:rsidP="00C20659">
      <w:r>
        <w:t>A copy of this Agreement will be posted by the Society for Endocrinology on the information sharing register.</w:t>
      </w:r>
    </w:p>
    <w:p w14:paraId="707544E8" w14:textId="67232186" w:rsidR="00C20659" w:rsidRDefault="00231845" w:rsidP="00C20659">
      <w:r>
        <w:t>Signed on behalf of the Institution or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tblGrid>
      <w:tr w:rsidR="00231845" w:rsidRPr="00E74B3C" w14:paraId="086FBAA5" w14:textId="77777777" w:rsidTr="00A57B2D">
        <w:tc>
          <w:tcPr>
            <w:tcW w:w="1413" w:type="dxa"/>
          </w:tcPr>
          <w:p w14:paraId="2D8D4228" w14:textId="77777777" w:rsidR="00231845" w:rsidRDefault="00231845" w:rsidP="00A57B2D">
            <w:pPr>
              <w:spacing w:after="0"/>
            </w:pPr>
            <w:r>
              <w:t xml:space="preserve">Name: </w:t>
            </w:r>
          </w:p>
          <w:p w14:paraId="1F2FD0F3" w14:textId="77777777" w:rsidR="00231845" w:rsidRPr="00E74B3C" w:rsidRDefault="00231845" w:rsidP="00A57B2D">
            <w:pPr>
              <w:rPr>
                <w:sz w:val="20"/>
                <w:szCs w:val="20"/>
              </w:rPr>
            </w:pPr>
            <w:r w:rsidRPr="00E74B3C">
              <w:rPr>
                <w:sz w:val="20"/>
                <w:szCs w:val="20"/>
              </w:rPr>
              <w:t>(please print)</w:t>
            </w:r>
          </w:p>
        </w:tc>
      </w:tr>
      <w:tr w:rsidR="00231845" w14:paraId="68199B9A" w14:textId="77777777" w:rsidTr="00A57B2D">
        <w:tc>
          <w:tcPr>
            <w:tcW w:w="1413" w:type="dxa"/>
          </w:tcPr>
          <w:p w14:paraId="4158008B" w14:textId="77777777" w:rsidR="00231845" w:rsidRDefault="00231845" w:rsidP="00A57B2D">
            <w:r>
              <w:t xml:space="preserve">Role: </w:t>
            </w:r>
          </w:p>
        </w:tc>
      </w:tr>
      <w:tr w:rsidR="00231845" w14:paraId="171A83BC" w14:textId="77777777" w:rsidTr="00A57B2D">
        <w:tc>
          <w:tcPr>
            <w:tcW w:w="1413" w:type="dxa"/>
          </w:tcPr>
          <w:p w14:paraId="39734B3F" w14:textId="77777777" w:rsidR="00231845" w:rsidRDefault="00231845" w:rsidP="00A57B2D">
            <w:r>
              <w:t xml:space="preserve">Signature: </w:t>
            </w:r>
          </w:p>
        </w:tc>
      </w:tr>
      <w:tr w:rsidR="00231845" w14:paraId="7F1DEAA8" w14:textId="77777777" w:rsidTr="00A57B2D">
        <w:tc>
          <w:tcPr>
            <w:tcW w:w="1413" w:type="dxa"/>
          </w:tcPr>
          <w:p w14:paraId="6F3C8096" w14:textId="77777777" w:rsidR="00231845" w:rsidRDefault="00231845" w:rsidP="00A57B2D">
            <w:r>
              <w:t xml:space="preserve">Date: </w:t>
            </w:r>
          </w:p>
        </w:tc>
      </w:tr>
    </w:tbl>
    <w:p w14:paraId="0F21419D" w14:textId="38C81FB5" w:rsidR="00231845" w:rsidRPr="00C20659" w:rsidRDefault="00231845" w:rsidP="00C20659">
      <w:pPr>
        <w:sectPr w:rsidR="00231845" w:rsidRPr="00C20659" w:rsidSect="001D7FB5">
          <w:pgSz w:w="11900" w:h="16840"/>
          <w:pgMar w:top="1247" w:right="561" w:bottom="1276" w:left="1361" w:header="709" w:footer="437" w:gutter="0"/>
          <w:cols w:space="708"/>
          <w:docGrid w:linePitch="326"/>
        </w:sectPr>
      </w:pPr>
    </w:p>
    <w:p w14:paraId="09DEDC76" w14:textId="77777777" w:rsidR="00E74B3C" w:rsidRPr="00E74B3C" w:rsidRDefault="00E74B3C" w:rsidP="00E74B3C">
      <w:pPr>
        <w:pStyle w:val="Heading1"/>
      </w:pPr>
      <w:bookmarkStart w:id="18" w:name="_Toc163136980"/>
      <w:r w:rsidRPr="00E74B3C">
        <w:lastRenderedPageBreak/>
        <w:t>Annex 1 – International Data Transfer Addendum</w:t>
      </w:r>
      <w:bookmarkEnd w:id="18"/>
    </w:p>
    <w:p w14:paraId="45BC45BA" w14:textId="77777777" w:rsidR="00E74B3C" w:rsidRDefault="00E74B3C" w:rsidP="00E74B3C"/>
    <w:p w14:paraId="62CBC683" w14:textId="77777777" w:rsidR="00E74B3C" w:rsidRPr="00E74B3C" w:rsidRDefault="00E74B3C" w:rsidP="00E74B3C">
      <w:pPr>
        <w:rPr>
          <w:b/>
        </w:rPr>
      </w:pPr>
      <w:r w:rsidRPr="00E74B3C">
        <w:rPr>
          <w:b/>
        </w:rPr>
        <w:t>International Data Transfer Addendum to the EU Commission Standard Contractual Clauses</w:t>
      </w:r>
    </w:p>
    <w:p w14:paraId="3E8B768B" w14:textId="77777777" w:rsidR="00E74B3C" w:rsidRDefault="00E74B3C" w:rsidP="00E74B3C">
      <w:r>
        <w:t>VERSION B1.0, in force 21 March 2022</w:t>
      </w:r>
    </w:p>
    <w:p w14:paraId="074F7C01" w14:textId="77777777" w:rsidR="00E74B3C" w:rsidRDefault="00E74B3C" w:rsidP="00E74B3C">
      <w:r>
        <w:t>This Addendum has been issued by the Information Commissioner for Parties making Restricted Transfers. The Information Commissioner considers that it provides Appropriate Safeguards for Restricted Transfers when it is entered into as a legally binding contract.</w:t>
      </w:r>
    </w:p>
    <w:p w14:paraId="0F54ED1C" w14:textId="77777777" w:rsidR="00E74B3C" w:rsidRPr="00E74B3C" w:rsidRDefault="00E74B3C" w:rsidP="00E74B3C">
      <w:pPr>
        <w:rPr>
          <w:b/>
        </w:rPr>
      </w:pPr>
      <w:r w:rsidRPr="00E74B3C">
        <w:rPr>
          <w:b/>
        </w:rPr>
        <w:t>Part 1: Tables</w:t>
      </w:r>
    </w:p>
    <w:tbl>
      <w:tblPr>
        <w:tblStyle w:val="TableGrid"/>
        <w:tblW w:w="0" w:type="auto"/>
        <w:tblLook w:val="04A0" w:firstRow="1" w:lastRow="0" w:firstColumn="1" w:lastColumn="0" w:noHBand="0" w:noVBand="1"/>
      </w:tblPr>
      <w:tblGrid>
        <w:gridCol w:w="1838"/>
        <w:gridCol w:w="3969"/>
        <w:gridCol w:w="4161"/>
      </w:tblGrid>
      <w:tr w:rsidR="00E74B3C" w14:paraId="0443DD15" w14:textId="77777777" w:rsidTr="004502A2">
        <w:tc>
          <w:tcPr>
            <w:tcW w:w="9968" w:type="dxa"/>
            <w:gridSpan w:val="3"/>
          </w:tcPr>
          <w:p w14:paraId="48190E3C" w14:textId="77777777" w:rsidR="00E74B3C" w:rsidRDefault="00E74B3C" w:rsidP="00E74B3C">
            <w:r>
              <w:t>Start date</w:t>
            </w:r>
          </w:p>
        </w:tc>
      </w:tr>
      <w:tr w:rsidR="00E74B3C" w14:paraId="056BF93A" w14:textId="77777777" w:rsidTr="00E74B3C">
        <w:tc>
          <w:tcPr>
            <w:tcW w:w="1838" w:type="dxa"/>
          </w:tcPr>
          <w:p w14:paraId="3A851478" w14:textId="77777777" w:rsidR="00E74B3C" w:rsidRDefault="00E74B3C" w:rsidP="00E74B3C">
            <w:r>
              <w:t>The Parties</w:t>
            </w:r>
          </w:p>
        </w:tc>
        <w:tc>
          <w:tcPr>
            <w:tcW w:w="3969" w:type="dxa"/>
          </w:tcPr>
          <w:p w14:paraId="1E6F0F05" w14:textId="77777777" w:rsidR="00E74B3C" w:rsidRDefault="00E74B3C" w:rsidP="00E74B3C">
            <w:r>
              <w:t>Exporter (who sends the Restricted Transfer) Party A</w:t>
            </w:r>
          </w:p>
        </w:tc>
        <w:tc>
          <w:tcPr>
            <w:tcW w:w="4161" w:type="dxa"/>
          </w:tcPr>
          <w:p w14:paraId="259FFAF9" w14:textId="77777777" w:rsidR="00E74B3C" w:rsidRDefault="00E74B3C" w:rsidP="00E74B3C">
            <w:r>
              <w:t>Importer (who receives the Restricted Transfer) Party B</w:t>
            </w:r>
          </w:p>
        </w:tc>
      </w:tr>
      <w:tr w:rsidR="00E74B3C" w14:paraId="7050A8D4" w14:textId="77777777" w:rsidTr="00E74B3C">
        <w:tc>
          <w:tcPr>
            <w:tcW w:w="1838" w:type="dxa"/>
          </w:tcPr>
          <w:p w14:paraId="1A44E696" w14:textId="77777777" w:rsidR="00E74B3C" w:rsidRDefault="00E74B3C" w:rsidP="00E74B3C">
            <w:r>
              <w:t>Parties’ details</w:t>
            </w:r>
          </w:p>
        </w:tc>
        <w:tc>
          <w:tcPr>
            <w:tcW w:w="3969" w:type="dxa"/>
          </w:tcPr>
          <w:p w14:paraId="604ECB07" w14:textId="77777777" w:rsidR="00E74B3C" w:rsidRDefault="00E74B3C" w:rsidP="00E74B3C">
            <w:r>
              <w:t>Full legal name: Society for Endocrinology</w:t>
            </w:r>
          </w:p>
          <w:p w14:paraId="49CFB0C5" w14:textId="77777777" w:rsidR="00E74B3C" w:rsidRDefault="00E74B3C" w:rsidP="00E74B3C">
            <w:r>
              <w:t>Trading name (if different): N/A</w:t>
            </w:r>
          </w:p>
          <w:p w14:paraId="3FBD5E9E" w14:textId="77777777" w:rsidR="00E74B3C" w:rsidRDefault="00E74B3C" w:rsidP="00E74B3C">
            <w:r>
              <w:t>Main address (if a company registered address): Starling House, 1600 Bristol Parkway North, Bristol, BS34 8YU</w:t>
            </w:r>
          </w:p>
          <w:p w14:paraId="5EE3A033" w14:textId="77777777" w:rsidR="00E74B3C" w:rsidRDefault="00E74B3C" w:rsidP="00E74B3C">
            <w:r>
              <w:t xml:space="preserve">Official registration number (if any) (company number or similar identifier): </w:t>
            </w:r>
            <w:r w:rsidRPr="00032EA4">
              <w:rPr>
                <w:color w:val="A6A6A6" w:themeColor="background1" w:themeShade="A6"/>
              </w:rPr>
              <w:t>Registered in England no. 349408 Registered charity no. 266813</w:t>
            </w:r>
          </w:p>
        </w:tc>
        <w:tc>
          <w:tcPr>
            <w:tcW w:w="4161" w:type="dxa"/>
          </w:tcPr>
          <w:p w14:paraId="5D85A555" w14:textId="77777777" w:rsidR="00032EA4" w:rsidRDefault="00032EA4" w:rsidP="00032EA4">
            <w:r>
              <w:t xml:space="preserve">Full legal name: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p w14:paraId="6B24A1CA" w14:textId="77777777" w:rsidR="00032EA4" w:rsidRDefault="00032EA4" w:rsidP="00032EA4">
            <w:r>
              <w:t xml:space="preserve">Trading name (if different):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p w14:paraId="775FC282" w14:textId="77777777" w:rsidR="00032EA4" w:rsidRDefault="00032EA4" w:rsidP="00032EA4">
            <w:r>
              <w:t xml:space="preserve">Main address (if a company registered address):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p w14:paraId="2FB5E64B" w14:textId="77777777" w:rsidR="00E74B3C" w:rsidRDefault="00032EA4" w:rsidP="00032EA4">
            <w:r>
              <w:t xml:space="preserve">Official registration number (if any) (company number or similar identifier):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r>
              <w:t xml:space="preserve">    </w:t>
            </w:r>
          </w:p>
        </w:tc>
      </w:tr>
      <w:tr w:rsidR="00E74B3C" w14:paraId="6CD81786" w14:textId="77777777" w:rsidTr="00E74B3C">
        <w:tc>
          <w:tcPr>
            <w:tcW w:w="1838" w:type="dxa"/>
          </w:tcPr>
          <w:p w14:paraId="6169C832" w14:textId="77777777" w:rsidR="00E74B3C" w:rsidRDefault="00E74B3C" w:rsidP="00E74B3C">
            <w:r>
              <w:t>Key Contact</w:t>
            </w:r>
          </w:p>
        </w:tc>
        <w:tc>
          <w:tcPr>
            <w:tcW w:w="3969" w:type="dxa"/>
          </w:tcPr>
          <w:p w14:paraId="323217AE" w14:textId="77777777" w:rsidR="00032EA4" w:rsidRDefault="00032EA4" w:rsidP="00032EA4">
            <w:r>
              <w:t xml:space="preserve">Full Name (optional): </w:t>
            </w:r>
          </w:p>
          <w:p w14:paraId="46C34F2B" w14:textId="77777777" w:rsidR="00032EA4" w:rsidRDefault="00032EA4" w:rsidP="00032EA4">
            <w:r>
              <w:t xml:space="preserve">Job Title: </w:t>
            </w:r>
          </w:p>
          <w:p w14:paraId="4DC1001C" w14:textId="77777777" w:rsidR="00E74B3C" w:rsidRDefault="00032EA4" w:rsidP="00032EA4">
            <w:r>
              <w:t>Contact details including email:</w:t>
            </w:r>
          </w:p>
        </w:tc>
        <w:tc>
          <w:tcPr>
            <w:tcW w:w="4161" w:type="dxa"/>
          </w:tcPr>
          <w:p w14:paraId="002E03B3" w14:textId="77777777" w:rsidR="00032EA4" w:rsidRPr="009D5685" w:rsidRDefault="00032EA4" w:rsidP="00032EA4">
            <w:pPr>
              <w:tabs>
                <w:tab w:val="left" w:pos="1843"/>
                <w:tab w:val="left" w:pos="3119"/>
                <w:tab w:val="left" w:pos="4253"/>
              </w:tabs>
              <w:spacing w:before="120" w:after="120" w:line="276" w:lineRule="auto"/>
              <w:jc w:val="both"/>
              <w:rPr>
                <w:rFonts w:ascii="Calibri" w:eastAsia="MS Mincho" w:hAnsi="Calibri" w:cs="Calibri"/>
                <w:lang w:eastAsia="en-GB"/>
              </w:rPr>
            </w:pPr>
            <w:r w:rsidRPr="009D5685">
              <w:rPr>
                <w:rFonts w:ascii="Calibri" w:eastAsia="MS Mincho" w:hAnsi="Calibri" w:cs="Calibri"/>
                <w:lang w:eastAsia="en-GB"/>
              </w:rPr>
              <w:t xml:space="preserve">Full Name (optional):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p w14:paraId="00508F1F" w14:textId="77777777" w:rsidR="00032EA4" w:rsidRPr="009D5685" w:rsidRDefault="00032EA4" w:rsidP="00032EA4">
            <w:pPr>
              <w:tabs>
                <w:tab w:val="left" w:pos="1843"/>
                <w:tab w:val="left" w:pos="3119"/>
                <w:tab w:val="left" w:pos="4253"/>
              </w:tabs>
              <w:spacing w:before="120" w:after="120" w:line="276" w:lineRule="auto"/>
              <w:jc w:val="both"/>
              <w:rPr>
                <w:rFonts w:ascii="Calibri" w:eastAsia="MS Mincho" w:hAnsi="Calibri" w:cs="Calibri"/>
                <w:lang w:eastAsia="en-GB"/>
              </w:rPr>
            </w:pPr>
            <w:r w:rsidRPr="009D5685">
              <w:rPr>
                <w:rFonts w:ascii="Calibri" w:eastAsia="MS Mincho" w:hAnsi="Calibri" w:cs="Calibri"/>
                <w:lang w:eastAsia="en-GB"/>
              </w:rPr>
              <w:t xml:space="preserve">Job Title: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p w14:paraId="2D8F485E" w14:textId="77777777" w:rsidR="00E74B3C" w:rsidRDefault="00032EA4" w:rsidP="00032EA4">
            <w:r w:rsidRPr="009D5685">
              <w:rPr>
                <w:rFonts w:ascii="Calibri" w:eastAsia="MS Mincho" w:hAnsi="Calibri" w:cs="Calibri"/>
                <w:lang w:eastAsia="en-GB"/>
              </w:rPr>
              <w:t>Contact details including email:</w:t>
            </w:r>
            <w:r>
              <w:rPr>
                <w:rFonts w:ascii="Calibri" w:eastAsia="MS Mincho" w:hAnsi="Calibri" w:cs="Calibri"/>
                <w:lang w:eastAsia="en-GB"/>
              </w:rPr>
              <w:t xml:space="preserve"> </w:t>
            </w:r>
            <w:r w:rsidRPr="009D5685">
              <w:rPr>
                <w:rFonts w:ascii="Calibri" w:eastAsia="MS Mincho" w:hAnsi="Calibri" w:cs="Calibri"/>
                <w:highlight w:val="lightGray"/>
                <w:lang w:eastAsia="en-GB"/>
              </w:rPr>
              <w:t xml:space="preserve"> </w:t>
            </w:r>
            <w:r w:rsidRPr="009D5685">
              <w:rPr>
                <w:rFonts w:ascii="Calibri" w:hAnsi="Calibri" w:cs="Calibri"/>
                <w:highlight w:val="lightGray"/>
                <w:lang w:eastAsia="en-GB"/>
              </w:rPr>
              <w:fldChar w:fldCharType="begin" w:fldLock="1">
                <w:ffData>
                  <w:name w:val=""/>
                  <w:enabled/>
                  <w:calcOnExit w:val="0"/>
                  <w:textInput/>
                </w:ffData>
              </w:fldChar>
            </w:r>
            <w:r w:rsidRPr="009D5685">
              <w:rPr>
                <w:rFonts w:ascii="Calibri" w:eastAsia="MS Mincho" w:hAnsi="Calibri" w:cs="Calibri"/>
                <w:highlight w:val="lightGray"/>
                <w:lang w:eastAsia="en-GB"/>
              </w:rPr>
              <w:instrText xml:space="preserve"> FORMTEXT </w:instrText>
            </w:r>
            <w:r w:rsidRPr="009D5685">
              <w:rPr>
                <w:rFonts w:ascii="Calibri" w:hAnsi="Calibri" w:cs="Calibri"/>
                <w:highlight w:val="lightGray"/>
                <w:lang w:eastAsia="en-GB"/>
              </w:rPr>
            </w:r>
            <w:r w:rsidRPr="009D5685">
              <w:rPr>
                <w:rFonts w:ascii="Calibri" w:hAnsi="Calibri" w:cs="Calibri"/>
                <w:highlight w:val="lightGray"/>
                <w:lang w:eastAsia="en-GB"/>
              </w:rPr>
              <w:fldChar w:fldCharType="separate"/>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eastAsia="MS Mincho" w:hAnsi="Calibri" w:cs="Calibri"/>
                <w:noProof/>
                <w:highlight w:val="lightGray"/>
                <w:lang w:eastAsia="en-GB"/>
              </w:rPr>
              <w:t> </w:t>
            </w:r>
            <w:r w:rsidRPr="009D5685">
              <w:rPr>
                <w:rFonts w:ascii="Calibri" w:hAnsi="Calibri" w:cs="Calibri"/>
                <w:highlight w:val="lightGray"/>
                <w:lang w:eastAsia="en-GB"/>
              </w:rPr>
              <w:fldChar w:fldCharType="end"/>
            </w:r>
          </w:p>
        </w:tc>
      </w:tr>
    </w:tbl>
    <w:p w14:paraId="390B5EA6" w14:textId="77777777" w:rsidR="00A50E26" w:rsidRDefault="00032EA4" w:rsidP="00E74B3C">
      <w:pPr>
        <w:rPr>
          <w:i/>
          <w:sz w:val="20"/>
          <w:szCs w:val="20"/>
        </w:rPr>
      </w:pPr>
      <w:r>
        <w:rPr>
          <w:i/>
          <w:sz w:val="20"/>
          <w:szCs w:val="20"/>
        </w:rPr>
        <w:t>Table 1: Parties</w:t>
      </w:r>
    </w:p>
    <w:p w14:paraId="043AE099" w14:textId="77777777" w:rsidR="00A50E26" w:rsidRDefault="00A50E26">
      <w:pPr>
        <w:spacing w:after="0"/>
        <w:rPr>
          <w:i/>
          <w:sz w:val="20"/>
          <w:szCs w:val="20"/>
        </w:rPr>
      </w:pPr>
      <w:r>
        <w:rPr>
          <w:i/>
          <w:sz w:val="20"/>
          <w:szCs w:val="20"/>
        </w:rPr>
        <w:br w:type="page"/>
      </w:r>
    </w:p>
    <w:tbl>
      <w:tblPr>
        <w:tblStyle w:val="TableGrid"/>
        <w:tblW w:w="0" w:type="auto"/>
        <w:tblLook w:val="04A0" w:firstRow="1" w:lastRow="0" w:firstColumn="1" w:lastColumn="0" w:noHBand="0" w:noVBand="1"/>
      </w:tblPr>
      <w:tblGrid>
        <w:gridCol w:w="988"/>
        <w:gridCol w:w="1297"/>
        <w:gridCol w:w="1112"/>
        <w:gridCol w:w="1276"/>
        <w:gridCol w:w="1843"/>
        <w:gridCol w:w="1559"/>
        <w:gridCol w:w="1893"/>
      </w:tblGrid>
      <w:tr w:rsidR="00032EA4" w14:paraId="3692DCF2" w14:textId="77777777" w:rsidTr="00A50E26">
        <w:tc>
          <w:tcPr>
            <w:tcW w:w="2285" w:type="dxa"/>
            <w:gridSpan w:val="2"/>
            <w:tcBorders>
              <w:right w:val="single" w:sz="4" w:space="0" w:color="auto"/>
            </w:tcBorders>
          </w:tcPr>
          <w:p w14:paraId="61C6FC56" w14:textId="77777777" w:rsidR="00032EA4" w:rsidRDefault="00032EA4" w:rsidP="00E74B3C">
            <w:r w:rsidRPr="00032EA4">
              <w:lastRenderedPageBreak/>
              <w:t>Addendum EU SCCs</w:t>
            </w:r>
          </w:p>
        </w:tc>
        <w:tc>
          <w:tcPr>
            <w:tcW w:w="1112" w:type="dxa"/>
            <w:tcBorders>
              <w:top w:val="single" w:sz="4" w:space="0" w:color="auto"/>
              <w:left w:val="single" w:sz="4" w:space="0" w:color="auto"/>
              <w:bottom w:val="single" w:sz="4" w:space="0" w:color="auto"/>
              <w:right w:val="nil"/>
            </w:tcBorders>
          </w:tcPr>
          <w:p w14:paraId="29CB5645" w14:textId="77777777" w:rsidR="00032EA4" w:rsidRDefault="00C40B37" w:rsidP="00A50E26">
            <w:pPr>
              <w:jc w:val="right"/>
            </w:pPr>
            <w:sdt>
              <w:sdtPr>
                <w:id w:val="-369311173"/>
                <w14:checkbox>
                  <w14:checked w14:val="0"/>
                  <w14:checkedState w14:val="2612" w14:font="MS Gothic"/>
                  <w14:uncheckedState w14:val="2610" w14:font="MS Gothic"/>
                </w14:checkbox>
              </w:sdtPr>
              <w:sdtEndPr/>
              <w:sdtContent>
                <w:r w:rsidR="0051365E">
                  <w:rPr>
                    <w:rFonts w:ascii="MS Gothic" w:eastAsia="MS Gothic" w:hAnsi="MS Gothic" w:hint="eastAsia"/>
                  </w:rPr>
                  <w:t>☐</w:t>
                </w:r>
              </w:sdtContent>
            </w:sdt>
            <w:r w:rsidR="00032EA4">
              <w:t xml:space="preserve">  </w:t>
            </w:r>
          </w:p>
          <w:p w14:paraId="78B96589" w14:textId="77777777" w:rsidR="00032EA4" w:rsidRDefault="00032EA4" w:rsidP="00A50E26">
            <w:pPr>
              <w:jc w:val="right"/>
            </w:pPr>
          </w:p>
          <w:p w14:paraId="7B793C1E" w14:textId="77777777" w:rsidR="00032EA4" w:rsidRDefault="00032EA4" w:rsidP="00A50E26">
            <w:pPr>
              <w:jc w:val="right"/>
            </w:pPr>
          </w:p>
          <w:p w14:paraId="750434C5" w14:textId="77777777" w:rsidR="00032EA4" w:rsidRDefault="00032EA4" w:rsidP="00A50E26">
            <w:pPr>
              <w:jc w:val="right"/>
            </w:pPr>
          </w:p>
          <w:p w14:paraId="3D695CBB" w14:textId="77777777" w:rsidR="00032EA4" w:rsidRDefault="00032EA4" w:rsidP="00A50E26">
            <w:pPr>
              <w:jc w:val="right"/>
            </w:pPr>
          </w:p>
          <w:p w14:paraId="0E1752D2" w14:textId="77777777" w:rsidR="00032EA4" w:rsidRDefault="00032EA4" w:rsidP="00A50E26">
            <w:pPr>
              <w:jc w:val="right"/>
            </w:pPr>
          </w:p>
          <w:sdt>
            <w:sdtPr>
              <w:id w:val="220798964"/>
              <w14:checkbox>
                <w14:checked w14:val="1"/>
                <w14:checkedState w14:val="2612" w14:font="MS Gothic"/>
                <w14:uncheckedState w14:val="2610" w14:font="MS Gothic"/>
              </w14:checkbox>
            </w:sdtPr>
            <w:sdtEndPr/>
            <w:sdtContent>
              <w:p w14:paraId="2FD0F072" w14:textId="77777777" w:rsidR="00032EA4" w:rsidRDefault="0051365E" w:rsidP="00A50E26">
                <w:pPr>
                  <w:jc w:val="right"/>
                </w:pPr>
                <w:r>
                  <w:rPr>
                    <w:rFonts w:ascii="MS Gothic" w:eastAsia="MS Gothic" w:hAnsi="MS Gothic" w:hint="eastAsia"/>
                  </w:rPr>
                  <w:t>☒</w:t>
                </w:r>
              </w:p>
            </w:sdtContent>
          </w:sdt>
        </w:tc>
        <w:tc>
          <w:tcPr>
            <w:tcW w:w="6571" w:type="dxa"/>
            <w:gridSpan w:val="4"/>
            <w:tcBorders>
              <w:top w:val="single" w:sz="4" w:space="0" w:color="auto"/>
              <w:left w:val="nil"/>
              <w:bottom w:val="single" w:sz="4" w:space="0" w:color="auto"/>
              <w:right w:val="single" w:sz="4" w:space="0" w:color="auto"/>
            </w:tcBorders>
          </w:tcPr>
          <w:p w14:paraId="7DA51B0E" w14:textId="77777777" w:rsidR="00032EA4" w:rsidRDefault="00032EA4" w:rsidP="00E74B3C">
            <w:r>
              <w:t>The version of the Approved EU SCCs which this Addendum is appended to, detailed below, including the Appendix information:</w:t>
            </w:r>
          </w:p>
          <w:p w14:paraId="420BD987" w14:textId="77777777" w:rsidR="00032EA4" w:rsidRDefault="00032EA4" w:rsidP="00032EA4">
            <w:r>
              <w:t xml:space="preserve">Date: </w:t>
            </w:r>
          </w:p>
          <w:p w14:paraId="5BA4EA08" w14:textId="77777777" w:rsidR="00032EA4" w:rsidRDefault="00032EA4" w:rsidP="00032EA4">
            <w:r>
              <w:t xml:space="preserve">Reference (if any): </w:t>
            </w:r>
          </w:p>
          <w:p w14:paraId="60B31483" w14:textId="77777777" w:rsidR="00032EA4" w:rsidRDefault="00032EA4" w:rsidP="00032EA4">
            <w:r>
              <w:t>Other identifier (if any):</w:t>
            </w:r>
          </w:p>
          <w:p w14:paraId="5126DD1A" w14:textId="77777777" w:rsidR="00032EA4" w:rsidRDefault="00032EA4" w:rsidP="00032EA4">
            <w:r>
              <w:t>Or</w:t>
            </w:r>
          </w:p>
          <w:p w14:paraId="5AFCFD6B" w14:textId="77777777" w:rsidR="00032EA4" w:rsidRPr="00032EA4" w:rsidRDefault="00A50E26" w:rsidP="00A50E26">
            <w:pPr>
              <w:rPr>
                <w:b/>
              </w:rPr>
            </w:pPr>
            <w:r>
              <w:t>The Approved EU SCCs, including the Appendix Information and with only the following modules, clauses or optional provisions of the Approved EU SCCs brought into effect for the purposes of this addendum:</w:t>
            </w:r>
          </w:p>
        </w:tc>
      </w:tr>
      <w:tr w:rsidR="00032EA4" w14:paraId="5F473796" w14:textId="77777777" w:rsidTr="00A50E26">
        <w:tc>
          <w:tcPr>
            <w:tcW w:w="988" w:type="dxa"/>
          </w:tcPr>
          <w:p w14:paraId="3B32F90B" w14:textId="77777777" w:rsidR="00032EA4" w:rsidRDefault="00032EA4" w:rsidP="00E74B3C">
            <w:r w:rsidRPr="00032EA4">
              <w:t>Module</w:t>
            </w:r>
          </w:p>
        </w:tc>
        <w:tc>
          <w:tcPr>
            <w:tcW w:w="1297" w:type="dxa"/>
          </w:tcPr>
          <w:p w14:paraId="2D88FFA0" w14:textId="77777777" w:rsidR="00032EA4" w:rsidRDefault="00032EA4" w:rsidP="00E74B3C">
            <w:r w:rsidRPr="00032EA4">
              <w:t>Module in operation</w:t>
            </w:r>
          </w:p>
        </w:tc>
        <w:tc>
          <w:tcPr>
            <w:tcW w:w="1112" w:type="dxa"/>
            <w:tcBorders>
              <w:top w:val="single" w:sz="4" w:space="0" w:color="auto"/>
            </w:tcBorders>
          </w:tcPr>
          <w:p w14:paraId="7BC374CA" w14:textId="77777777" w:rsidR="00032EA4" w:rsidRDefault="00032EA4" w:rsidP="00E74B3C">
            <w:r w:rsidRPr="00032EA4">
              <w:t>Clause 7 (Docking Clause)</w:t>
            </w:r>
          </w:p>
        </w:tc>
        <w:tc>
          <w:tcPr>
            <w:tcW w:w="1276" w:type="dxa"/>
            <w:tcBorders>
              <w:top w:val="single" w:sz="4" w:space="0" w:color="auto"/>
            </w:tcBorders>
          </w:tcPr>
          <w:p w14:paraId="14645728" w14:textId="77777777" w:rsidR="00032EA4" w:rsidRDefault="00032EA4" w:rsidP="00032EA4">
            <w:r>
              <w:t>Clause 11 (Option)</w:t>
            </w:r>
          </w:p>
        </w:tc>
        <w:tc>
          <w:tcPr>
            <w:tcW w:w="1843" w:type="dxa"/>
            <w:tcBorders>
              <w:top w:val="single" w:sz="4" w:space="0" w:color="auto"/>
            </w:tcBorders>
          </w:tcPr>
          <w:p w14:paraId="6870510D" w14:textId="77777777" w:rsidR="00032EA4" w:rsidRDefault="00032EA4" w:rsidP="00E74B3C">
            <w:r w:rsidRPr="00032EA4">
              <w:t>Clause 9a (Prior Authorisation or General Authorisation)</w:t>
            </w:r>
          </w:p>
        </w:tc>
        <w:tc>
          <w:tcPr>
            <w:tcW w:w="1559" w:type="dxa"/>
            <w:tcBorders>
              <w:top w:val="single" w:sz="4" w:space="0" w:color="auto"/>
            </w:tcBorders>
          </w:tcPr>
          <w:p w14:paraId="37E2506A" w14:textId="77777777" w:rsidR="00032EA4" w:rsidRDefault="00032EA4" w:rsidP="00E74B3C">
            <w:r w:rsidRPr="00032EA4">
              <w:t>Clause 9a (Time period)</w:t>
            </w:r>
          </w:p>
        </w:tc>
        <w:tc>
          <w:tcPr>
            <w:tcW w:w="1893" w:type="dxa"/>
            <w:tcBorders>
              <w:top w:val="single" w:sz="4" w:space="0" w:color="auto"/>
            </w:tcBorders>
          </w:tcPr>
          <w:p w14:paraId="0033D38B" w14:textId="77777777" w:rsidR="00032EA4" w:rsidRDefault="00032EA4" w:rsidP="00E74B3C">
            <w:r w:rsidRPr="00032EA4">
              <w:t>Is personal data received from the Importer combined with personal data collected by the Exporter?</w:t>
            </w:r>
          </w:p>
        </w:tc>
      </w:tr>
      <w:tr w:rsidR="00032EA4" w14:paraId="14970931" w14:textId="77777777" w:rsidTr="00032EA4">
        <w:tc>
          <w:tcPr>
            <w:tcW w:w="988" w:type="dxa"/>
          </w:tcPr>
          <w:p w14:paraId="4A2C6942" w14:textId="77777777" w:rsidR="00032EA4" w:rsidRDefault="00032EA4" w:rsidP="00E74B3C">
            <w:r>
              <w:t>1</w:t>
            </w:r>
          </w:p>
        </w:tc>
        <w:tc>
          <w:tcPr>
            <w:tcW w:w="1297" w:type="dxa"/>
          </w:tcPr>
          <w:p w14:paraId="24CEE331" w14:textId="77777777" w:rsidR="00032EA4" w:rsidRDefault="00032EA4" w:rsidP="00E74B3C">
            <w:r>
              <w:t>Yes</w:t>
            </w:r>
          </w:p>
        </w:tc>
        <w:tc>
          <w:tcPr>
            <w:tcW w:w="1112" w:type="dxa"/>
          </w:tcPr>
          <w:p w14:paraId="2FEE9CF4" w14:textId="77777777" w:rsidR="00032EA4" w:rsidRDefault="00032EA4" w:rsidP="00E74B3C">
            <w:r>
              <w:t>No</w:t>
            </w:r>
          </w:p>
        </w:tc>
        <w:tc>
          <w:tcPr>
            <w:tcW w:w="1276" w:type="dxa"/>
          </w:tcPr>
          <w:p w14:paraId="7008016C" w14:textId="77777777" w:rsidR="00032EA4" w:rsidRDefault="00032EA4" w:rsidP="00E74B3C">
            <w:r>
              <w:t>No</w:t>
            </w:r>
          </w:p>
        </w:tc>
        <w:tc>
          <w:tcPr>
            <w:tcW w:w="1843" w:type="dxa"/>
            <w:shd w:val="clear" w:color="auto" w:fill="FDE9D9" w:themeFill="accent6" w:themeFillTint="33"/>
          </w:tcPr>
          <w:p w14:paraId="7E2B82B1" w14:textId="77777777" w:rsidR="00032EA4" w:rsidRDefault="00032EA4" w:rsidP="00E74B3C"/>
        </w:tc>
        <w:tc>
          <w:tcPr>
            <w:tcW w:w="1559" w:type="dxa"/>
            <w:shd w:val="clear" w:color="auto" w:fill="FDE9D9" w:themeFill="accent6" w:themeFillTint="33"/>
          </w:tcPr>
          <w:p w14:paraId="6641C73F" w14:textId="77777777" w:rsidR="00032EA4" w:rsidRDefault="00032EA4" w:rsidP="00E74B3C"/>
        </w:tc>
        <w:tc>
          <w:tcPr>
            <w:tcW w:w="1893" w:type="dxa"/>
            <w:shd w:val="clear" w:color="auto" w:fill="FDE9D9" w:themeFill="accent6" w:themeFillTint="33"/>
          </w:tcPr>
          <w:p w14:paraId="04859AFA" w14:textId="77777777" w:rsidR="00032EA4" w:rsidRDefault="00032EA4" w:rsidP="00E74B3C"/>
        </w:tc>
      </w:tr>
      <w:tr w:rsidR="00032EA4" w14:paraId="1CF7813C" w14:textId="77777777" w:rsidTr="00032EA4">
        <w:tc>
          <w:tcPr>
            <w:tcW w:w="988" w:type="dxa"/>
          </w:tcPr>
          <w:p w14:paraId="01486243" w14:textId="77777777" w:rsidR="00032EA4" w:rsidRDefault="00032EA4" w:rsidP="00E74B3C">
            <w:r>
              <w:t>2</w:t>
            </w:r>
          </w:p>
        </w:tc>
        <w:tc>
          <w:tcPr>
            <w:tcW w:w="1297" w:type="dxa"/>
          </w:tcPr>
          <w:p w14:paraId="50EE666D" w14:textId="77777777" w:rsidR="00032EA4" w:rsidRDefault="00032EA4" w:rsidP="00E74B3C">
            <w:r>
              <w:t>No</w:t>
            </w:r>
          </w:p>
        </w:tc>
        <w:tc>
          <w:tcPr>
            <w:tcW w:w="1112" w:type="dxa"/>
          </w:tcPr>
          <w:p w14:paraId="64DC4561" w14:textId="77777777" w:rsidR="00032EA4" w:rsidRDefault="00032EA4" w:rsidP="00E74B3C">
            <w:r>
              <w:t>N/A</w:t>
            </w:r>
          </w:p>
        </w:tc>
        <w:tc>
          <w:tcPr>
            <w:tcW w:w="1276" w:type="dxa"/>
          </w:tcPr>
          <w:p w14:paraId="715E811D" w14:textId="77777777" w:rsidR="00032EA4" w:rsidRDefault="00032EA4" w:rsidP="00E74B3C">
            <w:r>
              <w:t>N/A</w:t>
            </w:r>
          </w:p>
        </w:tc>
        <w:tc>
          <w:tcPr>
            <w:tcW w:w="1843" w:type="dxa"/>
          </w:tcPr>
          <w:p w14:paraId="518C1E6F" w14:textId="77777777" w:rsidR="00032EA4" w:rsidRDefault="00032EA4" w:rsidP="00E74B3C">
            <w:r>
              <w:t>N/A</w:t>
            </w:r>
          </w:p>
        </w:tc>
        <w:tc>
          <w:tcPr>
            <w:tcW w:w="1559" w:type="dxa"/>
          </w:tcPr>
          <w:p w14:paraId="07786D8E" w14:textId="77777777" w:rsidR="00032EA4" w:rsidRDefault="00032EA4" w:rsidP="00E74B3C">
            <w:r>
              <w:t>N/A</w:t>
            </w:r>
          </w:p>
        </w:tc>
        <w:tc>
          <w:tcPr>
            <w:tcW w:w="1893" w:type="dxa"/>
            <w:shd w:val="clear" w:color="auto" w:fill="FDE9D9" w:themeFill="accent6" w:themeFillTint="33"/>
          </w:tcPr>
          <w:p w14:paraId="320FA346" w14:textId="77777777" w:rsidR="00032EA4" w:rsidRDefault="00032EA4" w:rsidP="00E74B3C"/>
        </w:tc>
      </w:tr>
      <w:tr w:rsidR="00032EA4" w14:paraId="47A124DE" w14:textId="77777777" w:rsidTr="00032EA4">
        <w:tc>
          <w:tcPr>
            <w:tcW w:w="988" w:type="dxa"/>
          </w:tcPr>
          <w:p w14:paraId="5E25953D" w14:textId="77777777" w:rsidR="00032EA4" w:rsidRDefault="00032EA4" w:rsidP="00E74B3C">
            <w:r>
              <w:t>3</w:t>
            </w:r>
          </w:p>
        </w:tc>
        <w:tc>
          <w:tcPr>
            <w:tcW w:w="1297" w:type="dxa"/>
          </w:tcPr>
          <w:p w14:paraId="62DB3913" w14:textId="77777777" w:rsidR="00032EA4" w:rsidRDefault="00032EA4" w:rsidP="00E74B3C">
            <w:r>
              <w:t>No</w:t>
            </w:r>
          </w:p>
        </w:tc>
        <w:tc>
          <w:tcPr>
            <w:tcW w:w="1112" w:type="dxa"/>
          </w:tcPr>
          <w:p w14:paraId="0F2967AB" w14:textId="77777777" w:rsidR="00032EA4" w:rsidRDefault="00032EA4" w:rsidP="00E74B3C">
            <w:r>
              <w:t>N/A</w:t>
            </w:r>
          </w:p>
        </w:tc>
        <w:tc>
          <w:tcPr>
            <w:tcW w:w="1276" w:type="dxa"/>
          </w:tcPr>
          <w:p w14:paraId="427AD5D3" w14:textId="77777777" w:rsidR="00032EA4" w:rsidRDefault="00032EA4" w:rsidP="00E74B3C">
            <w:r>
              <w:t>N/A</w:t>
            </w:r>
          </w:p>
        </w:tc>
        <w:tc>
          <w:tcPr>
            <w:tcW w:w="1843" w:type="dxa"/>
          </w:tcPr>
          <w:p w14:paraId="7D69DD29" w14:textId="77777777" w:rsidR="00032EA4" w:rsidRDefault="00032EA4" w:rsidP="00E74B3C">
            <w:r>
              <w:t>N/A</w:t>
            </w:r>
          </w:p>
        </w:tc>
        <w:tc>
          <w:tcPr>
            <w:tcW w:w="1559" w:type="dxa"/>
          </w:tcPr>
          <w:p w14:paraId="6156621B" w14:textId="77777777" w:rsidR="00032EA4" w:rsidRDefault="00032EA4" w:rsidP="00E74B3C">
            <w:r>
              <w:t>N/A</w:t>
            </w:r>
          </w:p>
        </w:tc>
        <w:tc>
          <w:tcPr>
            <w:tcW w:w="1893" w:type="dxa"/>
            <w:shd w:val="clear" w:color="auto" w:fill="FDE9D9" w:themeFill="accent6" w:themeFillTint="33"/>
          </w:tcPr>
          <w:p w14:paraId="49FE9B85" w14:textId="77777777" w:rsidR="00032EA4" w:rsidRDefault="00032EA4" w:rsidP="00E74B3C"/>
        </w:tc>
      </w:tr>
      <w:tr w:rsidR="00032EA4" w14:paraId="353459A9" w14:textId="77777777" w:rsidTr="00032EA4">
        <w:tc>
          <w:tcPr>
            <w:tcW w:w="988" w:type="dxa"/>
          </w:tcPr>
          <w:p w14:paraId="0C10338A" w14:textId="77777777" w:rsidR="00032EA4" w:rsidRDefault="00032EA4" w:rsidP="00E74B3C">
            <w:r>
              <w:t>4</w:t>
            </w:r>
          </w:p>
        </w:tc>
        <w:tc>
          <w:tcPr>
            <w:tcW w:w="1297" w:type="dxa"/>
          </w:tcPr>
          <w:p w14:paraId="6495F545" w14:textId="77777777" w:rsidR="00032EA4" w:rsidRDefault="00032EA4" w:rsidP="00E74B3C">
            <w:r>
              <w:t>No</w:t>
            </w:r>
          </w:p>
        </w:tc>
        <w:tc>
          <w:tcPr>
            <w:tcW w:w="1112" w:type="dxa"/>
          </w:tcPr>
          <w:p w14:paraId="67EF447C" w14:textId="77777777" w:rsidR="00032EA4" w:rsidRDefault="00032EA4" w:rsidP="00E74B3C">
            <w:r>
              <w:t>N/A</w:t>
            </w:r>
          </w:p>
        </w:tc>
        <w:tc>
          <w:tcPr>
            <w:tcW w:w="1276" w:type="dxa"/>
          </w:tcPr>
          <w:p w14:paraId="612342E1" w14:textId="77777777" w:rsidR="00032EA4" w:rsidRPr="00032EA4" w:rsidRDefault="00032EA4" w:rsidP="00E74B3C">
            <w:pPr>
              <w:rPr>
                <w:b/>
              </w:rPr>
            </w:pPr>
            <w:r>
              <w:t>N/A</w:t>
            </w:r>
          </w:p>
        </w:tc>
        <w:tc>
          <w:tcPr>
            <w:tcW w:w="1843" w:type="dxa"/>
            <w:shd w:val="clear" w:color="auto" w:fill="FDE9D9" w:themeFill="accent6" w:themeFillTint="33"/>
          </w:tcPr>
          <w:p w14:paraId="20C998EB" w14:textId="77777777" w:rsidR="00032EA4" w:rsidRDefault="00032EA4" w:rsidP="00E74B3C"/>
        </w:tc>
        <w:tc>
          <w:tcPr>
            <w:tcW w:w="1559" w:type="dxa"/>
            <w:shd w:val="clear" w:color="auto" w:fill="FDE9D9" w:themeFill="accent6" w:themeFillTint="33"/>
          </w:tcPr>
          <w:p w14:paraId="70FC276A" w14:textId="77777777" w:rsidR="00032EA4" w:rsidRDefault="00032EA4" w:rsidP="00E74B3C"/>
        </w:tc>
        <w:tc>
          <w:tcPr>
            <w:tcW w:w="1893" w:type="dxa"/>
          </w:tcPr>
          <w:p w14:paraId="1481089E" w14:textId="77777777" w:rsidR="00032EA4" w:rsidRDefault="00032EA4" w:rsidP="00E74B3C">
            <w:r>
              <w:t>N/A</w:t>
            </w:r>
          </w:p>
        </w:tc>
      </w:tr>
    </w:tbl>
    <w:p w14:paraId="34606E14" w14:textId="77777777" w:rsidR="00032EA4" w:rsidRPr="00A50E26" w:rsidRDefault="00A50E26" w:rsidP="00E74B3C">
      <w:pPr>
        <w:rPr>
          <w:i/>
          <w:sz w:val="20"/>
          <w:szCs w:val="20"/>
        </w:rPr>
      </w:pPr>
      <w:r w:rsidRPr="00A50E26">
        <w:rPr>
          <w:i/>
          <w:sz w:val="20"/>
          <w:szCs w:val="20"/>
        </w:rPr>
        <w:t>Table 2: Selected SCCs, Modules and Selected Clauses</w:t>
      </w:r>
    </w:p>
    <w:tbl>
      <w:tblPr>
        <w:tblStyle w:val="TableGrid"/>
        <w:tblW w:w="0" w:type="auto"/>
        <w:tblLook w:val="04A0" w:firstRow="1" w:lastRow="0" w:firstColumn="1" w:lastColumn="0" w:noHBand="0" w:noVBand="1"/>
      </w:tblPr>
      <w:tblGrid>
        <w:gridCol w:w="1221"/>
        <w:gridCol w:w="8747"/>
      </w:tblGrid>
      <w:tr w:rsidR="00705F39" w14:paraId="2C87D565" w14:textId="77777777" w:rsidTr="004502A2">
        <w:tc>
          <w:tcPr>
            <w:tcW w:w="9968" w:type="dxa"/>
            <w:gridSpan w:val="2"/>
          </w:tcPr>
          <w:p w14:paraId="726BCC41" w14:textId="77777777" w:rsidR="00705F39" w:rsidRDefault="00705F39" w:rsidP="00E74B3C">
            <w:r w:rsidRPr="00705F39">
              <w:t>“</w:t>
            </w:r>
            <w:r w:rsidRPr="00705F39">
              <w:rPr>
                <w:b/>
              </w:rPr>
              <w:t>Appendix Information</w:t>
            </w:r>
            <w:r w:rsidRPr="00705F39">
              <w:t>” means the information which must be provided for the selected modules as set out in the Appendix of the Approved EU SCCs (other than the Parties), and which for this Addendum is set out in:</w:t>
            </w:r>
          </w:p>
        </w:tc>
      </w:tr>
      <w:tr w:rsidR="00705F39" w14:paraId="67AC48B8" w14:textId="77777777" w:rsidTr="00705F39">
        <w:tc>
          <w:tcPr>
            <w:tcW w:w="1221" w:type="dxa"/>
          </w:tcPr>
          <w:p w14:paraId="7212603A" w14:textId="77777777" w:rsidR="00705F39" w:rsidRDefault="00705F39" w:rsidP="00705F39">
            <w:r w:rsidRPr="00705F39">
              <w:t xml:space="preserve">Annex 1A: </w:t>
            </w:r>
          </w:p>
        </w:tc>
        <w:tc>
          <w:tcPr>
            <w:tcW w:w="8747" w:type="dxa"/>
          </w:tcPr>
          <w:p w14:paraId="4602776C" w14:textId="77777777" w:rsidR="00705F39" w:rsidRDefault="00705F39" w:rsidP="00E74B3C">
            <w:r w:rsidRPr="00705F39">
              <w:t>List of Parties: See ‘Table 1: Parties’ above</w:t>
            </w:r>
          </w:p>
        </w:tc>
      </w:tr>
      <w:tr w:rsidR="00705F39" w14:paraId="3DDDD48B" w14:textId="77777777" w:rsidTr="00705F39">
        <w:tc>
          <w:tcPr>
            <w:tcW w:w="1221" w:type="dxa"/>
          </w:tcPr>
          <w:p w14:paraId="576E968E" w14:textId="77777777" w:rsidR="00705F39" w:rsidRDefault="00705F39" w:rsidP="00705F39">
            <w:r w:rsidRPr="00705F39">
              <w:t xml:space="preserve">Annex 1B: </w:t>
            </w:r>
          </w:p>
        </w:tc>
        <w:tc>
          <w:tcPr>
            <w:tcW w:w="8747" w:type="dxa"/>
          </w:tcPr>
          <w:p w14:paraId="4892AC03" w14:textId="77777777" w:rsidR="00705F39" w:rsidRDefault="00705F39" w:rsidP="00E74B3C">
            <w:r w:rsidRPr="00705F39">
              <w:t>Description of Transfer: See the Society for Endocrinology Data Sharing Agreement (DSA) to which this Addendum is attached</w:t>
            </w:r>
          </w:p>
        </w:tc>
      </w:tr>
      <w:tr w:rsidR="00705F39" w14:paraId="13DAA7AF" w14:textId="77777777" w:rsidTr="00705F39">
        <w:tc>
          <w:tcPr>
            <w:tcW w:w="1221" w:type="dxa"/>
          </w:tcPr>
          <w:p w14:paraId="022FB017" w14:textId="77777777" w:rsidR="00705F39" w:rsidRDefault="00705F39" w:rsidP="00705F39">
            <w:r w:rsidRPr="00705F39">
              <w:t xml:space="preserve">Annex II: </w:t>
            </w:r>
          </w:p>
        </w:tc>
        <w:tc>
          <w:tcPr>
            <w:tcW w:w="8747" w:type="dxa"/>
          </w:tcPr>
          <w:p w14:paraId="7A8322CA" w14:textId="77777777" w:rsidR="00705F39" w:rsidRDefault="00705F39" w:rsidP="00E74B3C">
            <w:r w:rsidRPr="00705F39">
              <w:t>Technical and organisational measures including technical and organisational measures to ensure the security of the data: See the Society for Endocrinology Data Sharing Agreement (DSA) to which</w:t>
            </w:r>
            <w:r>
              <w:t xml:space="preserve"> this Addendum is attached </w:t>
            </w:r>
          </w:p>
        </w:tc>
      </w:tr>
      <w:tr w:rsidR="00705F39" w14:paraId="39645BDD" w14:textId="77777777" w:rsidTr="00705F39">
        <w:tc>
          <w:tcPr>
            <w:tcW w:w="1221" w:type="dxa"/>
          </w:tcPr>
          <w:p w14:paraId="465F9833" w14:textId="77777777" w:rsidR="00705F39" w:rsidRDefault="00705F39" w:rsidP="00705F39">
            <w:r w:rsidRPr="009D5685">
              <w:rPr>
                <w:rFonts w:ascii="Calibri" w:hAnsi="Calibri" w:cs="Calibri"/>
                <w:lang w:eastAsia="en-GB"/>
              </w:rPr>
              <w:t xml:space="preserve">Annex III: </w:t>
            </w:r>
          </w:p>
        </w:tc>
        <w:tc>
          <w:tcPr>
            <w:tcW w:w="8747" w:type="dxa"/>
          </w:tcPr>
          <w:p w14:paraId="5C5EBC22" w14:textId="77777777" w:rsidR="00705F39" w:rsidRDefault="00705F39" w:rsidP="00E74B3C">
            <w:r w:rsidRPr="009D5685">
              <w:rPr>
                <w:rFonts w:ascii="Calibri" w:hAnsi="Calibri" w:cs="Calibri"/>
                <w:lang w:eastAsia="en-GB"/>
              </w:rPr>
              <w:t>List of Sub processors (Modules 2 and 3 only): N/A</w:t>
            </w:r>
          </w:p>
        </w:tc>
      </w:tr>
    </w:tbl>
    <w:p w14:paraId="5A24FC42" w14:textId="77777777" w:rsidR="00A50E26" w:rsidRPr="00705F39" w:rsidRDefault="00705F39" w:rsidP="00E74B3C">
      <w:pPr>
        <w:rPr>
          <w:i/>
          <w:sz w:val="20"/>
          <w:szCs w:val="20"/>
        </w:rPr>
      </w:pPr>
      <w:r w:rsidRPr="00705F39">
        <w:rPr>
          <w:i/>
          <w:sz w:val="20"/>
          <w:szCs w:val="20"/>
        </w:rPr>
        <w:t>Table 3: Appendix Information</w:t>
      </w:r>
    </w:p>
    <w:tbl>
      <w:tblPr>
        <w:tblStyle w:val="TableGrid"/>
        <w:tblW w:w="0" w:type="auto"/>
        <w:tblLook w:val="04A0" w:firstRow="1" w:lastRow="0" w:firstColumn="1" w:lastColumn="0" w:noHBand="0" w:noVBand="1"/>
      </w:tblPr>
      <w:tblGrid>
        <w:gridCol w:w="3397"/>
        <w:gridCol w:w="6571"/>
      </w:tblGrid>
      <w:tr w:rsidR="0051365E" w14:paraId="079DF1D4" w14:textId="77777777" w:rsidTr="0051365E">
        <w:tc>
          <w:tcPr>
            <w:tcW w:w="3397" w:type="dxa"/>
            <w:vMerge w:val="restart"/>
            <w:tcBorders>
              <w:right w:val="single" w:sz="4" w:space="0" w:color="auto"/>
            </w:tcBorders>
          </w:tcPr>
          <w:p w14:paraId="57EE5B0C" w14:textId="77777777" w:rsidR="0051365E" w:rsidRDefault="0051365E" w:rsidP="00E74B3C">
            <w:r w:rsidRPr="0051365E">
              <w:lastRenderedPageBreak/>
              <w:t>Ending this Addendum when the Approved Addendum changes</w:t>
            </w:r>
          </w:p>
        </w:tc>
        <w:tc>
          <w:tcPr>
            <w:tcW w:w="6571" w:type="dxa"/>
            <w:tcBorders>
              <w:top w:val="single" w:sz="4" w:space="0" w:color="auto"/>
              <w:left w:val="single" w:sz="4" w:space="0" w:color="auto"/>
              <w:bottom w:val="nil"/>
              <w:right w:val="single" w:sz="4" w:space="0" w:color="auto"/>
            </w:tcBorders>
          </w:tcPr>
          <w:p w14:paraId="6E27CADA" w14:textId="77777777" w:rsidR="0051365E" w:rsidRDefault="0051365E" w:rsidP="00E74B3C">
            <w:r w:rsidRPr="0051365E">
              <w:t>Which Parties may end this Addendum as set out in Section ‎19:</w:t>
            </w:r>
          </w:p>
        </w:tc>
      </w:tr>
      <w:tr w:rsidR="0051365E" w14:paraId="7A604DDD" w14:textId="77777777" w:rsidTr="0051365E">
        <w:tc>
          <w:tcPr>
            <w:tcW w:w="3397" w:type="dxa"/>
            <w:vMerge/>
            <w:tcBorders>
              <w:right w:val="single" w:sz="4" w:space="0" w:color="auto"/>
            </w:tcBorders>
          </w:tcPr>
          <w:p w14:paraId="51530365" w14:textId="77777777" w:rsidR="0051365E" w:rsidRDefault="0051365E" w:rsidP="00E74B3C"/>
        </w:tc>
        <w:tc>
          <w:tcPr>
            <w:tcW w:w="6571" w:type="dxa"/>
            <w:tcBorders>
              <w:top w:val="nil"/>
              <w:left w:val="single" w:sz="4" w:space="0" w:color="auto"/>
              <w:bottom w:val="nil"/>
              <w:right w:val="single" w:sz="4" w:space="0" w:color="auto"/>
            </w:tcBorders>
          </w:tcPr>
          <w:p w14:paraId="78B60810" w14:textId="77777777" w:rsidR="0051365E" w:rsidRDefault="00C40B37" w:rsidP="00E74B3C">
            <w:sdt>
              <w:sdtPr>
                <w:id w:val="-576048949"/>
                <w14:checkbox>
                  <w14:checked w14:val="0"/>
                  <w14:checkedState w14:val="2612" w14:font="MS Gothic"/>
                  <w14:uncheckedState w14:val="2610" w14:font="MS Gothic"/>
                </w14:checkbox>
              </w:sdtPr>
              <w:sdtEndPr/>
              <w:sdtContent>
                <w:r w:rsidR="0051365E">
                  <w:rPr>
                    <w:rFonts w:ascii="MS Gothic" w:eastAsia="MS Gothic" w:hAnsi="MS Gothic" w:hint="eastAsia"/>
                  </w:rPr>
                  <w:t>☐</w:t>
                </w:r>
              </w:sdtContent>
            </w:sdt>
            <w:r w:rsidR="0051365E">
              <w:t xml:space="preserve">  Importer</w:t>
            </w:r>
          </w:p>
        </w:tc>
      </w:tr>
      <w:tr w:rsidR="0051365E" w14:paraId="5BFE8B08" w14:textId="77777777" w:rsidTr="0051365E">
        <w:tc>
          <w:tcPr>
            <w:tcW w:w="3397" w:type="dxa"/>
            <w:vMerge/>
            <w:tcBorders>
              <w:right w:val="single" w:sz="4" w:space="0" w:color="auto"/>
            </w:tcBorders>
          </w:tcPr>
          <w:p w14:paraId="5B980175" w14:textId="77777777" w:rsidR="0051365E" w:rsidRDefault="0051365E" w:rsidP="00E74B3C"/>
        </w:tc>
        <w:tc>
          <w:tcPr>
            <w:tcW w:w="6571" w:type="dxa"/>
            <w:tcBorders>
              <w:top w:val="nil"/>
              <w:left w:val="single" w:sz="4" w:space="0" w:color="auto"/>
              <w:bottom w:val="nil"/>
              <w:right w:val="single" w:sz="4" w:space="0" w:color="auto"/>
            </w:tcBorders>
          </w:tcPr>
          <w:p w14:paraId="717CCE2D" w14:textId="77777777" w:rsidR="0051365E" w:rsidRDefault="00C40B37" w:rsidP="00E74B3C">
            <w:sdt>
              <w:sdtPr>
                <w:id w:val="746461893"/>
                <w14:checkbox>
                  <w14:checked w14:val="0"/>
                  <w14:checkedState w14:val="2612" w14:font="MS Gothic"/>
                  <w14:uncheckedState w14:val="2610" w14:font="MS Gothic"/>
                </w14:checkbox>
              </w:sdtPr>
              <w:sdtEndPr/>
              <w:sdtContent>
                <w:r w:rsidR="0051365E">
                  <w:rPr>
                    <w:rFonts w:ascii="MS Gothic" w:eastAsia="MS Gothic" w:hAnsi="MS Gothic" w:hint="eastAsia"/>
                  </w:rPr>
                  <w:t>☐</w:t>
                </w:r>
              </w:sdtContent>
            </w:sdt>
            <w:r w:rsidR="0051365E">
              <w:t xml:space="preserve">  Exporter</w:t>
            </w:r>
          </w:p>
        </w:tc>
      </w:tr>
      <w:tr w:rsidR="0051365E" w14:paraId="6F8F809A" w14:textId="77777777" w:rsidTr="0051365E">
        <w:tc>
          <w:tcPr>
            <w:tcW w:w="3397" w:type="dxa"/>
            <w:vMerge/>
            <w:tcBorders>
              <w:right w:val="single" w:sz="4" w:space="0" w:color="auto"/>
            </w:tcBorders>
          </w:tcPr>
          <w:p w14:paraId="4F28A751" w14:textId="77777777" w:rsidR="0051365E" w:rsidRDefault="0051365E" w:rsidP="00E74B3C"/>
        </w:tc>
        <w:tc>
          <w:tcPr>
            <w:tcW w:w="6571" w:type="dxa"/>
            <w:tcBorders>
              <w:top w:val="nil"/>
              <w:left w:val="single" w:sz="4" w:space="0" w:color="auto"/>
              <w:bottom w:val="single" w:sz="4" w:space="0" w:color="auto"/>
              <w:right w:val="single" w:sz="4" w:space="0" w:color="auto"/>
            </w:tcBorders>
          </w:tcPr>
          <w:p w14:paraId="65A7C077" w14:textId="77777777" w:rsidR="0051365E" w:rsidRDefault="00C40B37" w:rsidP="00E74B3C">
            <w:sdt>
              <w:sdtPr>
                <w:id w:val="1346358178"/>
                <w14:checkbox>
                  <w14:checked w14:val="1"/>
                  <w14:checkedState w14:val="2612" w14:font="MS Gothic"/>
                  <w14:uncheckedState w14:val="2610" w14:font="MS Gothic"/>
                </w14:checkbox>
              </w:sdtPr>
              <w:sdtEndPr/>
              <w:sdtContent>
                <w:r w:rsidR="0051365E">
                  <w:rPr>
                    <w:rFonts w:ascii="MS Gothic" w:eastAsia="MS Gothic" w:hAnsi="MS Gothic" w:hint="eastAsia"/>
                  </w:rPr>
                  <w:t>☒</w:t>
                </w:r>
              </w:sdtContent>
            </w:sdt>
            <w:r w:rsidR="0051365E">
              <w:t xml:space="preserve">  Neither Party</w:t>
            </w:r>
          </w:p>
        </w:tc>
      </w:tr>
    </w:tbl>
    <w:p w14:paraId="6F4578F2" w14:textId="77777777" w:rsidR="00705F39" w:rsidRPr="0051365E" w:rsidRDefault="0051365E" w:rsidP="00E74B3C">
      <w:pPr>
        <w:rPr>
          <w:i/>
          <w:sz w:val="20"/>
          <w:szCs w:val="20"/>
        </w:rPr>
      </w:pPr>
      <w:r w:rsidRPr="0051365E">
        <w:rPr>
          <w:i/>
          <w:sz w:val="20"/>
          <w:szCs w:val="20"/>
        </w:rPr>
        <w:t>Table 4: Ending this Addendum when the Approved Addendum Changes</w:t>
      </w:r>
    </w:p>
    <w:p w14:paraId="573DD66C" w14:textId="77777777" w:rsidR="0051365E" w:rsidRPr="0051365E" w:rsidRDefault="0051365E" w:rsidP="00E74B3C">
      <w:pPr>
        <w:rPr>
          <w:b/>
        </w:rPr>
      </w:pPr>
      <w:r w:rsidRPr="0051365E">
        <w:rPr>
          <w:b/>
        </w:rPr>
        <w:t>Part 2: Mandatory Clauses</w:t>
      </w:r>
    </w:p>
    <w:p w14:paraId="7A57C679" w14:textId="77777777" w:rsidR="0051365E" w:rsidRPr="0051365E" w:rsidRDefault="0051365E" w:rsidP="00E74B3C">
      <w:pPr>
        <w:rPr>
          <w:b/>
        </w:rPr>
      </w:pPr>
      <w:r w:rsidRPr="0051365E">
        <w:rPr>
          <w:b/>
        </w:rPr>
        <w:t>Entering into this Addendum</w:t>
      </w:r>
    </w:p>
    <w:p w14:paraId="1465F69D" w14:textId="77777777" w:rsidR="0051365E" w:rsidRDefault="0051365E" w:rsidP="0051365E">
      <w:pPr>
        <w:ind w:left="709" w:hanging="709"/>
      </w:pPr>
      <w:r>
        <w:t>1.</w:t>
      </w:r>
      <w:r>
        <w:tab/>
        <w:t>Each Party agrees to be bound by the terms and conditions set out in this Addendum, in exchange for the other Party also agreeing to be bound by this Addendum.</w:t>
      </w:r>
    </w:p>
    <w:p w14:paraId="26B292AB" w14:textId="77777777" w:rsidR="0051365E" w:rsidRDefault="0051365E" w:rsidP="0051365E">
      <w:pPr>
        <w:ind w:left="709" w:hanging="709"/>
      </w:pPr>
      <w:r>
        <w:t>2.</w:t>
      </w:r>
      <w:r>
        <w:tab/>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p>
    <w:p w14:paraId="2BB1755A" w14:textId="77777777" w:rsidR="0051365E" w:rsidRPr="0051365E" w:rsidRDefault="0051365E" w:rsidP="0051365E">
      <w:pPr>
        <w:rPr>
          <w:b/>
        </w:rPr>
      </w:pPr>
      <w:r w:rsidRPr="0051365E">
        <w:rPr>
          <w:b/>
        </w:rPr>
        <w:t xml:space="preserve">Interpretation of this Addendum </w:t>
      </w:r>
    </w:p>
    <w:p w14:paraId="51EFBF42" w14:textId="77777777" w:rsidR="0051365E" w:rsidRDefault="0051365E" w:rsidP="0051365E">
      <w:pPr>
        <w:ind w:left="709" w:hanging="709"/>
      </w:pPr>
      <w:r>
        <w:t>3.</w:t>
      </w:r>
      <w:r>
        <w:tab/>
        <w:t>Where this Addendum uses terms that are defined in the Approved EU SCCs those terms shall have the same meaning as in the Approved EU SCCs. In addition, the following terms have the following meanings:</w:t>
      </w:r>
    </w:p>
    <w:tbl>
      <w:tblPr>
        <w:tblStyle w:val="TableGrid"/>
        <w:tblW w:w="0" w:type="auto"/>
        <w:tblInd w:w="709" w:type="dxa"/>
        <w:tblLook w:val="04A0" w:firstRow="1" w:lastRow="0" w:firstColumn="1" w:lastColumn="0" w:noHBand="0" w:noVBand="1"/>
      </w:tblPr>
      <w:tblGrid>
        <w:gridCol w:w="2405"/>
        <w:gridCol w:w="6854"/>
      </w:tblGrid>
      <w:tr w:rsidR="003942D6" w14:paraId="3594F7A8" w14:textId="77777777" w:rsidTr="003942D6">
        <w:tc>
          <w:tcPr>
            <w:tcW w:w="2405" w:type="dxa"/>
          </w:tcPr>
          <w:p w14:paraId="75891E57" w14:textId="77777777" w:rsidR="003942D6" w:rsidRDefault="003942D6" w:rsidP="0051365E">
            <w:r w:rsidRPr="003942D6">
              <w:t>Addendum</w:t>
            </w:r>
          </w:p>
        </w:tc>
        <w:tc>
          <w:tcPr>
            <w:tcW w:w="6854" w:type="dxa"/>
          </w:tcPr>
          <w:p w14:paraId="285DE7DE" w14:textId="77777777" w:rsidR="003942D6" w:rsidRDefault="003942D6" w:rsidP="003942D6">
            <w:r>
              <w:t>This International Data Transfer Addendum which is made up of this Addendum incorporating the Addendum EU SCCs.</w:t>
            </w:r>
          </w:p>
        </w:tc>
      </w:tr>
      <w:tr w:rsidR="003942D6" w14:paraId="6E9482C8" w14:textId="77777777" w:rsidTr="003942D6">
        <w:tc>
          <w:tcPr>
            <w:tcW w:w="2405" w:type="dxa"/>
          </w:tcPr>
          <w:p w14:paraId="2EEDB0DD" w14:textId="77777777" w:rsidR="003942D6" w:rsidRDefault="003942D6" w:rsidP="0051365E">
            <w:r w:rsidRPr="003942D6">
              <w:t>Addendum EU SCCs</w:t>
            </w:r>
          </w:p>
        </w:tc>
        <w:tc>
          <w:tcPr>
            <w:tcW w:w="6854" w:type="dxa"/>
          </w:tcPr>
          <w:p w14:paraId="6FA6D70A" w14:textId="77777777" w:rsidR="003942D6" w:rsidRDefault="003942D6" w:rsidP="0051365E">
            <w:r w:rsidRPr="003942D6">
              <w:t>The version(s) of the Approved EU SCCs which this Addendum is appended to, as set out in Table 2, including the Appendix Information.</w:t>
            </w:r>
          </w:p>
        </w:tc>
      </w:tr>
      <w:tr w:rsidR="003942D6" w14:paraId="1BBFC091" w14:textId="77777777" w:rsidTr="003942D6">
        <w:tc>
          <w:tcPr>
            <w:tcW w:w="2405" w:type="dxa"/>
          </w:tcPr>
          <w:p w14:paraId="526A1EED" w14:textId="77777777" w:rsidR="003942D6" w:rsidRDefault="003942D6" w:rsidP="0051365E">
            <w:r w:rsidRPr="003942D6">
              <w:t>Appendix Information</w:t>
            </w:r>
          </w:p>
        </w:tc>
        <w:tc>
          <w:tcPr>
            <w:tcW w:w="6854" w:type="dxa"/>
          </w:tcPr>
          <w:p w14:paraId="4C315612" w14:textId="77777777" w:rsidR="003942D6" w:rsidRDefault="003942D6" w:rsidP="0051365E">
            <w:r w:rsidRPr="003942D6">
              <w:t>As set out in Table ‎3.</w:t>
            </w:r>
          </w:p>
        </w:tc>
      </w:tr>
      <w:tr w:rsidR="003942D6" w14:paraId="60EDECEE" w14:textId="77777777" w:rsidTr="003942D6">
        <w:tc>
          <w:tcPr>
            <w:tcW w:w="2405" w:type="dxa"/>
          </w:tcPr>
          <w:p w14:paraId="264B2DDB" w14:textId="77777777" w:rsidR="003942D6" w:rsidRDefault="003942D6" w:rsidP="0051365E">
            <w:r w:rsidRPr="003942D6">
              <w:t>Appropriate Safeguards</w:t>
            </w:r>
          </w:p>
        </w:tc>
        <w:tc>
          <w:tcPr>
            <w:tcW w:w="6854" w:type="dxa"/>
          </w:tcPr>
          <w:p w14:paraId="2D2AE05C" w14:textId="77777777" w:rsidR="003942D6" w:rsidRDefault="003942D6" w:rsidP="0051365E">
            <w:r w:rsidRPr="003942D6">
              <w:t>The standard of protection over the personal data and of data subjects’ rights, which is required by UK Data Protection Laws when you are making a Restricted Transfer relying on standard data protection clauses under Article 46(2)(d) UK GDPR.</w:t>
            </w:r>
          </w:p>
        </w:tc>
      </w:tr>
      <w:tr w:rsidR="003942D6" w14:paraId="2AC3477C" w14:textId="77777777" w:rsidTr="003942D6">
        <w:tc>
          <w:tcPr>
            <w:tcW w:w="2405" w:type="dxa"/>
          </w:tcPr>
          <w:p w14:paraId="22A7598E" w14:textId="77777777" w:rsidR="003942D6" w:rsidRDefault="003942D6" w:rsidP="0051365E">
            <w:r w:rsidRPr="003942D6">
              <w:t>Approved Addendum</w:t>
            </w:r>
          </w:p>
        </w:tc>
        <w:tc>
          <w:tcPr>
            <w:tcW w:w="6854" w:type="dxa"/>
          </w:tcPr>
          <w:p w14:paraId="09235011" w14:textId="77777777" w:rsidR="003942D6" w:rsidRDefault="003942D6" w:rsidP="0051365E">
            <w:r w:rsidRPr="003942D6">
              <w:t>The template Addendum issued by the ICO and laid before Parliament in accordance with s119A of the Data Protection Act 2018 on 2 February 2022, as it is revised under Section ‎18.</w:t>
            </w:r>
          </w:p>
        </w:tc>
      </w:tr>
      <w:tr w:rsidR="003942D6" w14:paraId="555F1BC2" w14:textId="77777777" w:rsidTr="003942D6">
        <w:tc>
          <w:tcPr>
            <w:tcW w:w="2405" w:type="dxa"/>
          </w:tcPr>
          <w:p w14:paraId="209A3970" w14:textId="77777777" w:rsidR="003942D6" w:rsidRDefault="003942D6" w:rsidP="0051365E">
            <w:r w:rsidRPr="003942D6">
              <w:t>Approved EU SCCs</w:t>
            </w:r>
          </w:p>
        </w:tc>
        <w:tc>
          <w:tcPr>
            <w:tcW w:w="6854" w:type="dxa"/>
          </w:tcPr>
          <w:p w14:paraId="579A4BE9" w14:textId="77777777" w:rsidR="003942D6" w:rsidRDefault="003942D6" w:rsidP="0051365E">
            <w:r w:rsidRPr="003942D6">
              <w:t>The Standard Contractual Clauses set out in the Annex of Commission Implementing Decision (EU) 2021/914 of 4 June 2021.</w:t>
            </w:r>
          </w:p>
        </w:tc>
      </w:tr>
      <w:tr w:rsidR="003942D6" w14:paraId="178AAEB9" w14:textId="77777777" w:rsidTr="003942D6">
        <w:tc>
          <w:tcPr>
            <w:tcW w:w="2405" w:type="dxa"/>
          </w:tcPr>
          <w:p w14:paraId="3CB8D3D1" w14:textId="77777777" w:rsidR="003942D6" w:rsidRDefault="003942D6" w:rsidP="0051365E">
            <w:r w:rsidRPr="003942D6">
              <w:lastRenderedPageBreak/>
              <w:t>ICO</w:t>
            </w:r>
          </w:p>
        </w:tc>
        <w:tc>
          <w:tcPr>
            <w:tcW w:w="6854" w:type="dxa"/>
          </w:tcPr>
          <w:p w14:paraId="19A2D9D0" w14:textId="77777777" w:rsidR="003942D6" w:rsidRDefault="003942D6" w:rsidP="0051365E">
            <w:r w:rsidRPr="003942D6">
              <w:t>The Information Commissioner.</w:t>
            </w:r>
          </w:p>
        </w:tc>
      </w:tr>
      <w:tr w:rsidR="003942D6" w14:paraId="1A9E5167" w14:textId="77777777" w:rsidTr="003942D6">
        <w:tc>
          <w:tcPr>
            <w:tcW w:w="2405" w:type="dxa"/>
          </w:tcPr>
          <w:p w14:paraId="3E5D9E7D" w14:textId="77777777" w:rsidR="003942D6" w:rsidRDefault="003942D6" w:rsidP="0051365E">
            <w:r w:rsidRPr="003942D6">
              <w:t>Restricted Transfer</w:t>
            </w:r>
          </w:p>
        </w:tc>
        <w:tc>
          <w:tcPr>
            <w:tcW w:w="6854" w:type="dxa"/>
          </w:tcPr>
          <w:p w14:paraId="2895EC7D" w14:textId="77777777" w:rsidR="003942D6" w:rsidRDefault="003942D6" w:rsidP="0051365E">
            <w:r w:rsidRPr="003942D6">
              <w:t>A transfer which is covered by Chapter V of the UK GDPR.</w:t>
            </w:r>
          </w:p>
        </w:tc>
      </w:tr>
      <w:tr w:rsidR="003942D6" w14:paraId="09177242" w14:textId="77777777" w:rsidTr="003942D6">
        <w:tc>
          <w:tcPr>
            <w:tcW w:w="2405" w:type="dxa"/>
          </w:tcPr>
          <w:p w14:paraId="46A595AA" w14:textId="77777777" w:rsidR="003942D6" w:rsidRDefault="003942D6" w:rsidP="003942D6">
            <w:pPr>
              <w:tabs>
                <w:tab w:val="left" w:pos="1413"/>
              </w:tabs>
            </w:pPr>
            <w:r w:rsidRPr="003942D6">
              <w:t>UK</w:t>
            </w:r>
          </w:p>
        </w:tc>
        <w:tc>
          <w:tcPr>
            <w:tcW w:w="6854" w:type="dxa"/>
          </w:tcPr>
          <w:p w14:paraId="596B6BE7" w14:textId="77777777" w:rsidR="003942D6" w:rsidRDefault="003942D6" w:rsidP="0051365E">
            <w:r w:rsidRPr="003942D6">
              <w:t>The United Kingdom of Great Britain and Northern Ireland.</w:t>
            </w:r>
          </w:p>
        </w:tc>
      </w:tr>
      <w:tr w:rsidR="003942D6" w14:paraId="13B677CF" w14:textId="77777777" w:rsidTr="003942D6">
        <w:tc>
          <w:tcPr>
            <w:tcW w:w="2405" w:type="dxa"/>
          </w:tcPr>
          <w:p w14:paraId="638712AF" w14:textId="77777777" w:rsidR="003942D6" w:rsidRDefault="003942D6" w:rsidP="0051365E">
            <w:r w:rsidRPr="003942D6">
              <w:t>UK Data Protection Laws</w:t>
            </w:r>
          </w:p>
        </w:tc>
        <w:tc>
          <w:tcPr>
            <w:tcW w:w="6854" w:type="dxa"/>
          </w:tcPr>
          <w:p w14:paraId="4FE4B311" w14:textId="77777777" w:rsidR="003942D6" w:rsidRDefault="003942D6" w:rsidP="0051365E">
            <w:r w:rsidRPr="003942D6">
              <w:t>All laws relating to data protection, the processing of personal data, privacy and/or electronic communications in force from time to time in the UK, including the UK GDPR and the Data Protection Act 2018.</w:t>
            </w:r>
          </w:p>
        </w:tc>
      </w:tr>
      <w:tr w:rsidR="003942D6" w14:paraId="232199E1" w14:textId="77777777" w:rsidTr="003942D6">
        <w:tc>
          <w:tcPr>
            <w:tcW w:w="2405" w:type="dxa"/>
          </w:tcPr>
          <w:p w14:paraId="5A1EF180" w14:textId="77777777" w:rsidR="003942D6" w:rsidRDefault="003942D6" w:rsidP="0051365E">
            <w:r w:rsidRPr="003942D6">
              <w:t>UK GDPR</w:t>
            </w:r>
          </w:p>
        </w:tc>
        <w:tc>
          <w:tcPr>
            <w:tcW w:w="6854" w:type="dxa"/>
          </w:tcPr>
          <w:p w14:paraId="7023A944" w14:textId="77777777" w:rsidR="003942D6" w:rsidRDefault="003942D6" w:rsidP="0051365E">
            <w:r w:rsidRPr="003942D6">
              <w:t>As defined in section 3 of the Data Protection Act 2018.</w:t>
            </w:r>
          </w:p>
        </w:tc>
      </w:tr>
    </w:tbl>
    <w:p w14:paraId="5B191019" w14:textId="77777777" w:rsidR="0051365E" w:rsidRDefault="0051365E" w:rsidP="0051365E">
      <w:pPr>
        <w:ind w:left="709" w:hanging="709"/>
      </w:pPr>
    </w:p>
    <w:p w14:paraId="6B8B743C" w14:textId="77777777" w:rsidR="003942D6" w:rsidRDefault="003942D6" w:rsidP="003942D6">
      <w:pPr>
        <w:ind w:left="709" w:hanging="709"/>
      </w:pPr>
      <w:r>
        <w:t>4.</w:t>
      </w:r>
      <w:r>
        <w:tab/>
        <w:t xml:space="preserve">This Addendum must always be interpreted in a manner that is consistent with UK Data Protection Laws and so that it fulfils the Parties’ obligation to provide the Appropriate Safeguards. </w:t>
      </w:r>
    </w:p>
    <w:p w14:paraId="5FF703E0" w14:textId="77777777" w:rsidR="003942D6" w:rsidRDefault="003942D6" w:rsidP="003942D6">
      <w:pPr>
        <w:ind w:left="709" w:hanging="709"/>
      </w:pPr>
      <w:r>
        <w:t>5.</w:t>
      </w:r>
      <w:r>
        <w:tab/>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225C9FBD" w14:textId="77777777" w:rsidR="003942D6" w:rsidRDefault="003942D6" w:rsidP="003942D6">
      <w:pPr>
        <w:ind w:left="709" w:hanging="709"/>
      </w:pPr>
      <w:r>
        <w:t>6.</w:t>
      </w:r>
      <w:r>
        <w:tab/>
        <w:t>If there is any inconsistency or conflict between UK Data Protection Laws and this Addendum, UK Data Protection Laws applies.</w:t>
      </w:r>
    </w:p>
    <w:p w14:paraId="5668D6B2" w14:textId="77777777" w:rsidR="003942D6" w:rsidRDefault="003942D6" w:rsidP="003942D6">
      <w:pPr>
        <w:ind w:left="709" w:hanging="709"/>
      </w:pPr>
      <w:r>
        <w:t>7.</w:t>
      </w:r>
      <w:r>
        <w:tab/>
        <w:t xml:space="preserve">If the meaning of this Addendum is unclear or there is more than one meaning, the meaning which most closely aligns with UK Data Protection Laws applies. </w:t>
      </w:r>
    </w:p>
    <w:p w14:paraId="0F015DFB" w14:textId="77777777" w:rsidR="003942D6" w:rsidRDefault="003942D6" w:rsidP="003942D6">
      <w:pPr>
        <w:ind w:left="709" w:hanging="709"/>
      </w:pPr>
      <w:r>
        <w:t>8.</w:t>
      </w:r>
      <w:r>
        <w:tab/>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427F2E91" w14:textId="77777777" w:rsidR="003942D6" w:rsidRPr="004D37C2" w:rsidRDefault="003942D6" w:rsidP="004D37C2">
      <w:pPr>
        <w:rPr>
          <w:b/>
        </w:rPr>
      </w:pPr>
      <w:r w:rsidRPr="004D37C2">
        <w:rPr>
          <w:b/>
        </w:rPr>
        <w:t xml:space="preserve">Hierarchy </w:t>
      </w:r>
    </w:p>
    <w:p w14:paraId="242A35FD" w14:textId="77777777" w:rsidR="003942D6" w:rsidRDefault="003942D6" w:rsidP="003942D6">
      <w:pPr>
        <w:ind w:left="709" w:hanging="709"/>
      </w:pPr>
      <w:r>
        <w:t>9.</w:t>
      </w:r>
      <w:r>
        <w:tab/>
        <w:t>Although Clause 5 of the Approved EU SCCs sets out that the Approved EU SCCs prevail over all related agreements between the parties, the parties agree that, for Restricted Transfers, the hierarchy in Section ‎10 will prevail.</w:t>
      </w:r>
    </w:p>
    <w:p w14:paraId="0265DF10" w14:textId="77777777" w:rsidR="003942D6" w:rsidRDefault="003942D6" w:rsidP="003942D6">
      <w:pPr>
        <w:ind w:left="709" w:hanging="709"/>
      </w:pPr>
      <w:r>
        <w:t>10.</w:t>
      </w:r>
      <w:r>
        <w:tab/>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192B2C7A" w14:textId="77777777" w:rsidR="003942D6" w:rsidRDefault="003942D6" w:rsidP="003942D6">
      <w:pPr>
        <w:ind w:left="709" w:hanging="709"/>
      </w:pPr>
      <w:r>
        <w:t>11.</w:t>
      </w:r>
      <w:r>
        <w:tab/>
        <w:t>Where this Addendum incorporates Addendum EU SCCs which have been entered into to protect transfers subject to the General Data Protection Regulation (EU) 2016/679 then the Parties acknowledge that nothing in this Addendum impacts those Addendum EU SCCs.</w:t>
      </w:r>
    </w:p>
    <w:p w14:paraId="2855F8A0" w14:textId="77777777" w:rsidR="003942D6" w:rsidRPr="004D37C2" w:rsidRDefault="003942D6" w:rsidP="004D37C2">
      <w:pPr>
        <w:rPr>
          <w:b/>
        </w:rPr>
      </w:pPr>
      <w:r w:rsidRPr="004D37C2">
        <w:rPr>
          <w:b/>
        </w:rPr>
        <w:lastRenderedPageBreak/>
        <w:t>Incorporation of and changes to the EU SCCs</w:t>
      </w:r>
    </w:p>
    <w:p w14:paraId="052FD45E" w14:textId="77777777" w:rsidR="003942D6" w:rsidRDefault="003942D6" w:rsidP="004D37C2">
      <w:pPr>
        <w:ind w:left="709" w:hanging="709"/>
      </w:pPr>
      <w:r>
        <w:t>12.</w:t>
      </w:r>
      <w:r>
        <w:tab/>
        <w:t>This Addendum incorporates the Addendum EU SCCs which are amended to the extent necessary so that:</w:t>
      </w:r>
    </w:p>
    <w:p w14:paraId="16F2BD25" w14:textId="77777777" w:rsidR="003942D6" w:rsidRDefault="003942D6" w:rsidP="004D37C2">
      <w:pPr>
        <w:pStyle w:val="ListParagraph"/>
        <w:ind w:left="1134" w:hanging="425"/>
      </w:pPr>
      <w:r>
        <w:t>a.</w:t>
      </w:r>
      <w:r>
        <w:tab/>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794EE13F" w14:textId="77777777" w:rsidR="003942D6" w:rsidRDefault="003942D6" w:rsidP="004D37C2">
      <w:pPr>
        <w:pStyle w:val="ListParagraph"/>
        <w:ind w:left="1134" w:hanging="425"/>
      </w:pPr>
      <w:r>
        <w:t>b.</w:t>
      </w:r>
      <w:r>
        <w:tab/>
        <w:t>Sections ‎9 to ‎11 override Clause 5 (Hierarchy) of the Addendum EU SCCs; and</w:t>
      </w:r>
    </w:p>
    <w:p w14:paraId="62241F8D" w14:textId="77777777" w:rsidR="003942D6" w:rsidRDefault="003942D6" w:rsidP="004D37C2">
      <w:pPr>
        <w:pStyle w:val="ListParagraph"/>
        <w:ind w:left="1134" w:hanging="425"/>
      </w:pPr>
      <w:r>
        <w:t>c.</w:t>
      </w:r>
      <w:r>
        <w:tab/>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EDB5332" w14:textId="77777777" w:rsidR="003942D6" w:rsidRDefault="003942D6" w:rsidP="004D37C2">
      <w:pPr>
        <w:ind w:left="709" w:hanging="709"/>
      </w:pPr>
      <w:r>
        <w:t>13.</w:t>
      </w:r>
      <w:r>
        <w:tab/>
        <w:t>Unless the Parties have agreed alternative amendments which meet the requirements of Section ‎12, the provisions of Section ‎15 will apply.</w:t>
      </w:r>
    </w:p>
    <w:p w14:paraId="5F135903" w14:textId="77777777" w:rsidR="003942D6" w:rsidRDefault="003942D6" w:rsidP="004D37C2">
      <w:pPr>
        <w:ind w:left="709" w:hanging="709"/>
      </w:pPr>
      <w:r>
        <w:t>14.</w:t>
      </w:r>
      <w:r>
        <w:tab/>
        <w:t>No amendments to the Approved EU SCCs other than to meet the requirements of Section ‎12 may be made.</w:t>
      </w:r>
    </w:p>
    <w:p w14:paraId="044ABC9B" w14:textId="77777777" w:rsidR="003942D6" w:rsidRDefault="003942D6" w:rsidP="004D37C2">
      <w:pPr>
        <w:ind w:left="709" w:hanging="709"/>
      </w:pPr>
      <w:r>
        <w:t>15.</w:t>
      </w:r>
      <w:r>
        <w:tab/>
        <w:t xml:space="preserve">The following amendments to the Addendum EU SCCs (for the purpose of Section ‎12) are made: </w:t>
      </w:r>
    </w:p>
    <w:p w14:paraId="42324B18" w14:textId="77777777" w:rsidR="003942D6" w:rsidRDefault="003942D6" w:rsidP="004D37C2">
      <w:pPr>
        <w:pStyle w:val="ListParagraph"/>
        <w:ind w:left="1134" w:hanging="425"/>
      </w:pPr>
      <w:r>
        <w:t>a.</w:t>
      </w:r>
      <w:r>
        <w:tab/>
        <w:t>References to the “Clauses” means this Addendum, incorporating the Addendum EU SCCs;</w:t>
      </w:r>
    </w:p>
    <w:p w14:paraId="1E77A7D2" w14:textId="77777777" w:rsidR="003942D6" w:rsidRDefault="003942D6" w:rsidP="004D37C2">
      <w:pPr>
        <w:pStyle w:val="ListParagraph"/>
        <w:ind w:left="1134" w:hanging="425"/>
      </w:pPr>
      <w:r>
        <w:t>b.</w:t>
      </w:r>
      <w:r>
        <w:tab/>
        <w:t>In Clause 2, delete the words:</w:t>
      </w:r>
    </w:p>
    <w:p w14:paraId="6F6DDD6E" w14:textId="77777777" w:rsidR="003942D6" w:rsidRDefault="003942D6" w:rsidP="004626A1">
      <w:pPr>
        <w:ind w:left="1134"/>
      </w:pPr>
      <w:r>
        <w:t>“and, with respect to data transfers from controllers to processors and/or processors to processors, standard contractual clauses pursuant to Article 28(7) of Regulation (EU) 2016/679”;</w:t>
      </w:r>
    </w:p>
    <w:p w14:paraId="64D4C35D" w14:textId="77777777" w:rsidR="003942D6" w:rsidRDefault="003942D6" w:rsidP="004D37C2">
      <w:pPr>
        <w:pStyle w:val="ListParagraph"/>
        <w:ind w:left="1134" w:hanging="425"/>
      </w:pPr>
      <w:r>
        <w:t>c.</w:t>
      </w:r>
      <w:r>
        <w:tab/>
        <w:t>Clause 6 (Description of the transfer(s)) is replaced with:</w:t>
      </w:r>
    </w:p>
    <w:p w14:paraId="5157B11C" w14:textId="77777777" w:rsidR="003942D6" w:rsidRDefault="003942D6" w:rsidP="004626A1">
      <w:pPr>
        <w:ind w:left="1134"/>
      </w:pPr>
      <w: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2C324F59" w14:textId="77777777" w:rsidR="003942D6" w:rsidRDefault="003942D6" w:rsidP="004D37C2">
      <w:pPr>
        <w:pStyle w:val="ListParagraph"/>
        <w:ind w:left="1134" w:hanging="425"/>
      </w:pPr>
      <w:r>
        <w:t>d.</w:t>
      </w:r>
      <w:r>
        <w:tab/>
        <w:t>Clause 8.7(i) of Module 1 is replaced with:</w:t>
      </w:r>
    </w:p>
    <w:p w14:paraId="211ACA72" w14:textId="77777777" w:rsidR="003942D6" w:rsidRDefault="003942D6" w:rsidP="004626A1">
      <w:pPr>
        <w:ind w:left="1134"/>
      </w:pPr>
      <w:r>
        <w:t>“it is to a country benefitting from adequacy regulations pursuant to Section 17A of the UK GDPR that covers the onward transfer”;</w:t>
      </w:r>
    </w:p>
    <w:p w14:paraId="1BD54B56" w14:textId="77777777" w:rsidR="003942D6" w:rsidRDefault="003942D6" w:rsidP="004D37C2">
      <w:pPr>
        <w:pStyle w:val="ListParagraph"/>
        <w:ind w:left="1134" w:hanging="425"/>
      </w:pPr>
      <w:r>
        <w:t>e.</w:t>
      </w:r>
      <w:r>
        <w:tab/>
        <w:t>Clause 8.8(i) of Modules 2 and 3 is replaced with:</w:t>
      </w:r>
    </w:p>
    <w:p w14:paraId="60B7E680" w14:textId="77777777" w:rsidR="003942D6" w:rsidRDefault="003942D6" w:rsidP="004626A1">
      <w:pPr>
        <w:ind w:left="1134"/>
      </w:pPr>
      <w:r>
        <w:t>“the onward transfer is to a country benefitting from adequacy regulations pursuant to Section 17A of the UK GDPR that covers the onward transfer;”</w:t>
      </w:r>
    </w:p>
    <w:p w14:paraId="0A12A88D" w14:textId="77777777" w:rsidR="003942D6" w:rsidRDefault="003942D6" w:rsidP="004626A1">
      <w:pPr>
        <w:pStyle w:val="ListParagraph"/>
        <w:ind w:left="1134" w:hanging="425"/>
      </w:pPr>
      <w:r>
        <w:t>f.</w:t>
      </w:r>
      <w:r>
        <w:tab/>
        <w:t xml:space="preserve">References to “Regulation (EU) 2016/679”, “Regulation (EU) 2016/679 of the European Parliament and of the Council of 27 April 2016 on the protection of natural persons with </w:t>
      </w:r>
      <w:r>
        <w:lastRenderedPageBreak/>
        <w:t>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08D8D9DB" w14:textId="77777777" w:rsidR="003942D6" w:rsidRDefault="003942D6" w:rsidP="004626A1">
      <w:pPr>
        <w:pStyle w:val="ListParagraph"/>
        <w:ind w:left="1134" w:hanging="425"/>
      </w:pPr>
      <w:r>
        <w:t>g.</w:t>
      </w:r>
      <w:r>
        <w:tab/>
        <w:t>References to Regulation (EU) 2018/1725 are removed;</w:t>
      </w:r>
    </w:p>
    <w:p w14:paraId="022A559E" w14:textId="77777777" w:rsidR="003942D6" w:rsidRDefault="003942D6" w:rsidP="004626A1">
      <w:pPr>
        <w:pStyle w:val="ListParagraph"/>
        <w:ind w:left="1134" w:hanging="425"/>
      </w:pPr>
      <w:r>
        <w:t>h.</w:t>
      </w:r>
      <w:r>
        <w:tab/>
        <w:t>References to the “European Union”, “Union”, “EU”, “EU Member State”, “Member State” and “EU or Member State” are all replaced with the “UK”;</w:t>
      </w:r>
    </w:p>
    <w:p w14:paraId="2D234493" w14:textId="77777777" w:rsidR="003942D6" w:rsidRDefault="003942D6" w:rsidP="004626A1">
      <w:pPr>
        <w:pStyle w:val="ListParagraph"/>
        <w:ind w:left="1134" w:hanging="425"/>
      </w:pPr>
      <w:r>
        <w:t>i.</w:t>
      </w:r>
      <w:r>
        <w:tab/>
        <w:t>The reference to “Clause 12(c)(i)” at Clause 10(b)(i) of Module one, is replaced with “Clause 11(c)(i)”;</w:t>
      </w:r>
    </w:p>
    <w:p w14:paraId="3D0A7B65" w14:textId="77777777" w:rsidR="003942D6" w:rsidRDefault="003942D6" w:rsidP="004626A1">
      <w:pPr>
        <w:pStyle w:val="ListParagraph"/>
        <w:ind w:left="1134" w:hanging="425"/>
      </w:pPr>
      <w:r>
        <w:t>j.</w:t>
      </w:r>
      <w:r>
        <w:tab/>
        <w:t xml:space="preserve">Clause 13(a) and Part C of Annex I are not used; </w:t>
      </w:r>
    </w:p>
    <w:p w14:paraId="562CA0D1" w14:textId="77777777" w:rsidR="003942D6" w:rsidRDefault="003942D6" w:rsidP="004626A1">
      <w:pPr>
        <w:pStyle w:val="ListParagraph"/>
        <w:ind w:left="1134" w:hanging="425"/>
      </w:pPr>
      <w:r>
        <w:t>k.</w:t>
      </w:r>
      <w:r>
        <w:tab/>
        <w:t>The “competent supervisory authority” and “supervisory authority” are both replaced with the “Information Commissioner”;</w:t>
      </w:r>
    </w:p>
    <w:p w14:paraId="09224493" w14:textId="77777777" w:rsidR="003942D6" w:rsidRDefault="003942D6" w:rsidP="004626A1">
      <w:pPr>
        <w:pStyle w:val="ListParagraph"/>
        <w:ind w:left="1134" w:hanging="425"/>
      </w:pPr>
      <w:r>
        <w:t>l.</w:t>
      </w:r>
      <w:r>
        <w:tab/>
        <w:t>In Clause 16(e), subsection (i) is replaced with:</w:t>
      </w:r>
    </w:p>
    <w:p w14:paraId="02AD7C4B" w14:textId="77777777" w:rsidR="003942D6" w:rsidRDefault="003942D6" w:rsidP="004626A1">
      <w:pPr>
        <w:ind w:left="1134"/>
      </w:pPr>
      <w:r>
        <w:t>“the Secretary of State makes regulations pursuant to Section 17A of the Data Protection Act 2018 that cover the transfer of personal data to which these clauses apply;”;</w:t>
      </w:r>
    </w:p>
    <w:p w14:paraId="54860843" w14:textId="77777777" w:rsidR="003942D6" w:rsidRDefault="003942D6" w:rsidP="004626A1">
      <w:pPr>
        <w:pStyle w:val="ListParagraph"/>
        <w:ind w:left="1134" w:hanging="425"/>
      </w:pPr>
      <w:r>
        <w:t>m.</w:t>
      </w:r>
      <w:r>
        <w:tab/>
        <w:t>Clause 17 is replaced with:</w:t>
      </w:r>
    </w:p>
    <w:p w14:paraId="34F7C2F7" w14:textId="77777777" w:rsidR="003942D6" w:rsidRDefault="003942D6" w:rsidP="004626A1">
      <w:pPr>
        <w:ind w:left="1134"/>
      </w:pPr>
      <w:r>
        <w:t>“These Clauses are governed by the laws of Scotland.”;</w:t>
      </w:r>
    </w:p>
    <w:p w14:paraId="1FFF594C" w14:textId="77777777" w:rsidR="003942D6" w:rsidRDefault="003942D6" w:rsidP="004626A1">
      <w:pPr>
        <w:pStyle w:val="ListParagraph"/>
        <w:ind w:left="1134" w:hanging="425"/>
      </w:pPr>
      <w:r>
        <w:t>n.</w:t>
      </w:r>
      <w:r>
        <w:tab/>
        <w:t>Clause 18 is replaced with:</w:t>
      </w:r>
    </w:p>
    <w:p w14:paraId="22116ABD" w14:textId="77777777" w:rsidR="003942D6" w:rsidRDefault="003942D6" w:rsidP="004626A1">
      <w:pPr>
        <w:ind w:left="1134"/>
      </w:pPr>
      <w:r>
        <w:t>“Any dispute arising from these Clauses shall be resolved by the courts of Scotland. A data subject may also bring legal proceedings against the data exporter and/or data importer before the courts of any country in the UK. The Parties agree to submit themselves to the jurisdiction of such courts.”; and</w:t>
      </w:r>
    </w:p>
    <w:p w14:paraId="11389BFF" w14:textId="77777777" w:rsidR="004626A1" w:rsidRPr="004626A1" w:rsidRDefault="003942D6" w:rsidP="004626A1">
      <w:pPr>
        <w:pStyle w:val="ListParagraph"/>
        <w:ind w:left="1134" w:hanging="425"/>
      </w:pPr>
      <w:r>
        <w:t>o.</w:t>
      </w:r>
      <w:r>
        <w:tab/>
        <w:t xml:space="preserve">The footnotes to the Approved EU SCCs do not form part of the Addendum, except </w:t>
      </w:r>
      <w:r w:rsidR="004626A1">
        <w:t xml:space="preserve">for footnotes 8, 9, 10 and 11. </w:t>
      </w:r>
    </w:p>
    <w:p w14:paraId="43C5361E" w14:textId="77777777" w:rsidR="003942D6" w:rsidRPr="004626A1" w:rsidRDefault="003942D6" w:rsidP="004626A1">
      <w:pPr>
        <w:rPr>
          <w:b/>
        </w:rPr>
      </w:pPr>
      <w:r w:rsidRPr="004626A1">
        <w:rPr>
          <w:b/>
        </w:rPr>
        <w:t xml:space="preserve">Amendments to this Addendum </w:t>
      </w:r>
    </w:p>
    <w:p w14:paraId="7FB9E460" w14:textId="77777777" w:rsidR="003942D6" w:rsidRDefault="003942D6" w:rsidP="003942D6">
      <w:pPr>
        <w:ind w:left="709" w:hanging="709"/>
      </w:pPr>
      <w:r>
        <w:t>16.</w:t>
      </w:r>
      <w:r>
        <w:tab/>
        <w:t>The Parties may agree to change Clauses 17 and/or 18 of the Addendum EU SCCs to refer to the laws and/or courts of Scotland or Northern Ireland.</w:t>
      </w:r>
    </w:p>
    <w:p w14:paraId="197B4205" w14:textId="77777777" w:rsidR="003942D6" w:rsidRDefault="003942D6" w:rsidP="003942D6">
      <w:pPr>
        <w:ind w:left="709" w:hanging="709"/>
      </w:pPr>
      <w:r>
        <w:t>17.</w:t>
      </w:r>
      <w:r>
        <w:tab/>
        <w:t>If the Parties wish to change the format of the information included in Part 1: Tables of the Approved Addendum, they may do so by agreeing to the change in writing, provided that the change does not reduce the Appropriate Safeguards.</w:t>
      </w:r>
    </w:p>
    <w:p w14:paraId="28A07922" w14:textId="77777777" w:rsidR="003942D6" w:rsidRDefault="003942D6" w:rsidP="003942D6">
      <w:pPr>
        <w:ind w:left="709" w:hanging="709"/>
      </w:pPr>
      <w:r>
        <w:t>18.</w:t>
      </w:r>
      <w:r>
        <w:tab/>
        <w:t xml:space="preserve">From time to time, the ICO may issue a revised Approved Addendum which: </w:t>
      </w:r>
    </w:p>
    <w:p w14:paraId="2F53D37C" w14:textId="77777777" w:rsidR="003942D6" w:rsidRDefault="003942D6" w:rsidP="004626A1">
      <w:pPr>
        <w:pStyle w:val="ListParagraph"/>
        <w:ind w:left="1134" w:hanging="425"/>
      </w:pPr>
      <w:r>
        <w:t>a.</w:t>
      </w:r>
      <w:r>
        <w:tab/>
        <w:t>makes reasonable and proportionate changes to the Approved Addendum, including correcting errors in the Approved Addendum; and/or</w:t>
      </w:r>
    </w:p>
    <w:p w14:paraId="3DE5167C" w14:textId="77777777" w:rsidR="003942D6" w:rsidRDefault="003942D6" w:rsidP="004626A1">
      <w:pPr>
        <w:pStyle w:val="ListParagraph"/>
        <w:ind w:left="1134" w:hanging="425"/>
      </w:pPr>
      <w:r>
        <w:t>b.</w:t>
      </w:r>
      <w:r>
        <w:tab/>
        <w:t>reflects changes to UK Data Protection Laws;</w:t>
      </w:r>
    </w:p>
    <w:p w14:paraId="189C761B" w14:textId="77777777" w:rsidR="003942D6" w:rsidRDefault="003942D6" w:rsidP="004626A1">
      <w:pPr>
        <w:ind w:left="709"/>
      </w:pPr>
      <w:r>
        <w:t>The revised Approved Addendum will specify the start date from which the changes to the Approved</w:t>
      </w:r>
      <w:r w:rsidR="004626A1">
        <w:t xml:space="preserve"> </w:t>
      </w:r>
      <w:r>
        <w:t xml:space="preserve">Addendum are effective and whether the Parties need to review this Addendum including the Appendix Information. This Addendum is automatically amended as set out in the revised Approved Addendum from the start date specified. </w:t>
      </w:r>
    </w:p>
    <w:p w14:paraId="456BA23B" w14:textId="77777777" w:rsidR="003942D6" w:rsidRDefault="003942D6" w:rsidP="003942D6">
      <w:pPr>
        <w:ind w:left="709" w:hanging="709"/>
      </w:pPr>
      <w:r>
        <w:lastRenderedPageBreak/>
        <w:t>19.</w:t>
      </w:r>
      <w:r>
        <w:tab/>
        <w:t xml:space="preserve">If the ICO issues a revised Approved Addendum under Section ‎18, if any Party selected in Table 4 “Ending the Addendum when the Approved Addendum changes”, will as a direct result of the changes in the Approved Addendum have a substantial, disproportionate and demonstrable increase in: </w:t>
      </w:r>
    </w:p>
    <w:p w14:paraId="4D3B82A8" w14:textId="77777777" w:rsidR="003942D6" w:rsidRDefault="003942D6" w:rsidP="004626A1">
      <w:pPr>
        <w:pStyle w:val="ListParagraph"/>
        <w:ind w:left="1134" w:hanging="425"/>
      </w:pPr>
      <w:r>
        <w:t>a.</w:t>
      </w:r>
      <w:r>
        <w:tab/>
        <w:t xml:space="preserve">its direct costs of performing its obligations under the Addendum; and/or </w:t>
      </w:r>
    </w:p>
    <w:p w14:paraId="7F103CF8" w14:textId="77777777" w:rsidR="003942D6" w:rsidRDefault="003942D6" w:rsidP="004626A1">
      <w:pPr>
        <w:pStyle w:val="ListParagraph"/>
        <w:ind w:left="1134" w:hanging="425"/>
      </w:pPr>
      <w:r>
        <w:t>b.</w:t>
      </w:r>
      <w:r>
        <w:tab/>
        <w:t xml:space="preserve">its risk under the Addendum, </w:t>
      </w:r>
    </w:p>
    <w:p w14:paraId="2D000369" w14:textId="77777777" w:rsidR="003942D6" w:rsidRDefault="003942D6" w:rsidP="004626A1">
      <w:pPr>
        <w:ind w:left="709"/>
      </w:pPr>
      <w: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14:paraId="748F9CA5" w14:textId="77777777" w:rsidR="00A50E26" w:rsidRPr="00032EA4" w:rsidRDefault="003942D6" w:rsidP="004626A1">
      <w:pPr>
        <w:ind w:left="709" w:hanging="709"/>
      </w:pPr>
      <w:r>
        <w:t>20.</w:t>
      </w:r>
      <w:r>
        <w:tab/>
        <w:t>The Parties do not need the consent of any third party to make changes to this Addendum, but any changes must be made in accordance with its terms.</w:t>
      </w:r>
    </w:p>
    <w:p w14:paraId="44796D69" w14:textId="77777777" w:rsidR="00E74B3C" w:rsidRDefault="00E74B3C" w:rsidP="004F25A1">
      <w:pPr>
        <w:pStyle w:val="Heading1"/>
      </w:pPr>
    </w:p>
    <w:p w14:paraId="01673E93" w14:textId="77777777" w:rsidR="00E74B3C" w:rsidRDefault="00E74B3C" w:rsidP="004F25A1">
      <w:pPr>
        <w:pStyle w:val="Heading1"/>
        <w:sectPr w:rsidR="00E74B3C" w:rsidSect="001D7FB5">
          <w:pgSz w:w="11900" w:h="16840"/>
          <w:pgMar w:top="1247" w:right="561" w:bottom="1276" w:left="1361" w:header="709" w:footer="437" w:gutter="0"/>
          <w:cols w:space="708"/>
          <w:docGrid w:linePitch="326"/>
        </w:sectPr>
      </w:pPr>
    </w:p>
    <w:p w14:paraId="70D83051" w14:textId="77777777" w:rsidR="004B0D81" w:rsidRDefault="004F25A1" w:rsidP="004F25A1">
      <w:pPr>
        <w:pStyle w:val="Heading1"/>
      </w:pPr>
      <w:bookmarkStart w:id="19" w:name="_Toc163136981"/>
      <w:r>
        <w:lastRenderedPageBreak/>
        <w:t>Appendix 3 – Registries Data Sharing Agreement Termination (DSAT)</w:t>
      </w:r>
      <w:bookmarkEnd w:id="19"/>
    </w:p>
    <w:p w14:paraId="30C285FE" w14:textId="77777777" w:rsidR="004B0D81" w:rsidRDefault="004B0D81" w:rsidP="004B0D81"/>
    <w:tbl>
      <w:tblPr>
        <w:tblStyle w:val="TableGrid"/>
        <w:tblW w:w="0" w:type="auto"/>
        <w:tblLook w:val="04A0" w:firstRow="1" w:lastRow="0" w:firstColumn="1" w:lastColumn="0" w:noHBand="0" w:noVBand="1"/>
      </w:tblPr>
      <w:tblGrid>
        <w:gridCol w:w="1929"/>
        <w:gridCol w:w="8039"/>
      </w:tblGrid>
      <w:tr w:rsidR="00D24214" w14:paraId="16D72A1E" w14:textId="77777777" w:rsidTr="00D24214">
        <w:tc>
          <w:tcPr>
            <w:tcW w:w="1929" w:type="dxa"/>
          </w:tcPr>
          <w:p w14:paraId="319B3C2A" w14:textId="77777777" w:rsidR="00D24214" w:rsidRDefault="00D24214" w:rsidP="004B0D81">
            <w:r>
              <w:t>Applicant name:</w:t>
            </w:r>
          </w:p>
        </w:tc>
        <w:tc>
          <w:tcPr>
            <w:tcW w:w="8039" w:type="dxa"/>
          </w:tcPr>
          <w:p w14:paraId="2B5FD766" w14:textId="77777777" w:rsidR="00D24214" w:rsidRDefault="00D24214" w:rsidP="004B0D81"/>
        </w:tc>
      </w:tr>
    </w:tbl>
    <w:p w14:paraId="57776E01" w14:textId="77777777" w:rsidR="00D24214" w:rsidRDefault="00D24214" w:rsidP="004B0D81"/>
    <w:p w14:paraId="1BC4038B" w14:textId="77777777" w:rsidR="00D24214" w:rsidRDefault="00D24214" w:rsidP="00D24214">
      <w:r>
        <w:t>Confirms that:</w:t>
      </w:r>
    </w:p>
    <w:p w14:paraId="49C8A38B" w14:textId="77777777" w:rsidR="00D24214" w:rsidRDefault="00D24214" w:rsidP="00D24214">
      <w:pPr>
        <w:ind w:left="567" w:hanging="567"/>
      </w:pPr>
      <w:r>
        <w:t>1.</w:t>
      </w:r>
      <w:r>
        <w:tab/>
        <w:t>Society for Endocrinology registry data has only been used for the purposes outlined in the signed Data Sharing Agreement.</w:t>
      </w:r>
    </w:p>
    <w:p w14:paraId="3136E03E" w14:textId="77777777" w:rsidR="00D24214" w:rsidRDefault="00D24214" w:rsidP="00D24214">
      <w:pPr>
        <w:ind w:left="567" w:hanging="567"/>
      </w:pPr>
      <w:r>
        <w:t>2.</w:t>
      </w:r>
      <w:r>
        <w:tab/>
        <w:t>The data has not been shared with other parties not specified in the signed Data Sharing Agreement.</w:t>
      </w:r>
    </w:p>
    <w:p w14:paraId="21456EB6" w14:textId="77777777" w:rsidR="00D24214" w:rsidRDefault="00D24214" w:rsidP="00D24214">
      <w:pPr>
        <w:ind w:left="567" w:hanging="567"/>
      </w:pPr>
      <w:r>
        <w:t>3.</w:t>
      </w:r>
      <w:r>
        <w:tab/>
        <w:t>Any data that was not used for analysis for the purpose of an output has been destroyed in accordance with the criteria set out in the signed Data Sharing Agreement, and was destroyed on [dd/mm/yyyy].</w:t>
      </w:r>
    </w:p>
    <w:p w14:paraId="7FB4FAD4" w14:textId="77777777" w:rsidR="00D24214" w:rsidRDefault="00D24214" w:rsidP="00D24214">
      <w:pPr>
        <w:ind w:left="567" w:hanging="567"/>
      </w:pPr>
      <w:r>
        <w:t>4.</w:t>
      </w:r>
      <w:r>
        <w:tab/>
        <w:t>Data that was used for analysis for the purpose of an output has been stored and shall be destroyed by [dd/mm/yyyy].</w:t>
      </w:r>
    </w:p>
    <w:p w14:paraId="5D07987E" w14:textId="77777777" w:rsidR="00D24214" w:rsidRDefault="00D24214" w:rsidP="00D24214">
      <w:pPr>
        <w:ind w:left="567" w:hanging="567"/>
      </w:pPr>
      <w:r>
        <w:t>5.</w:t>
      </w:r>
      <w:r>
        <w:tab/>
        <w:t>Data that was used for analysis for the purpose of an output was also returned to Society for Endocrinology on [dd/mm/yyyy].</w:t>
      </w:r>
    </w:p>
    <w:p w14:paraId="0771EED2" w14:textId="77777777" w:rsidR="00D24214" w:rsidRDefault="00D24214" w:rsidP="00D24214">
      <w:pPr>
        <w:ind w:left="567" w:hanging="567"/>
      </w:pPr>
      <w:r>
        <w:t>6.</w:t>
      </w:r>
      <w:r>
        <w:tab/>
        <w:t>Any publications that utilised the data supplied under this Agreement followed the Society for Endocrinology Publication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7755"/>
      </w:tblGrid>
      <w:tr w:rsidR="00D24214" w14:paraId="550C98B0" w14:textId="77777777" w:rsidTr="001F4D5F">
        <w:tc>
          <w:tcPr>
            <w:tcW w:w="2213" w:type="dxa"/>
          </w:tcPr>
          <w:p w14:paraId="38E3A7FC" w14:textId="77777777" w:rsidR="00D24214" w:rsidRDefault="00D24214" w:rsidP="004502A2">
            <w:r>
              <w:t>Signed on behalf of:</w:t>
            </w:r>
          </w:p>
        </w:tc>
        <w:tc>
          <w:tcPr>
            <w:tcW w:w="7755" w:type="dxa"/>
          </w:tcPr>
          <w:p w14:paraId="10B04325" w14:textId="77777777" w:rsidR="00D24214" w:rsidRDefault="00D24214" w:rsidP="004502A2"/>
        </w:tc>
      </w:tr>
      <w:tr w:rsidR="001F4D5F" w14:paraId="500B6135" w14:textId="77777777" w:rsidTr="001F4D5F">
        <w:tc>
          <w:tcPr>
            <w:tcW w:w="2213" w:type="dxa"/>
          </w:tcPr>
          <w:p w14:paraId="5F4A8542" w14:textId="77777777" w:rsidR="001F4D5F" w:rsidRDefault="001F4D5F" w:rsidP="001F4D5F">
            <w:pPr>
              <w:spacing w:after="0"/>
            </w:pPr>
            <w:r>
              <w:t xml:space="preserve">Name: </w:t>
            </w:r>
          </w:p>
          <w:p w14:paraId="48E70F57" w14:textId="77777777" w:rsidR="001F4D5F" w:rsidRPr="00E74B3C" w:rsidRDefault="001F4D5F" w:rsidP="001F4D5F">
            <w:pPr>
              <w:rPr>
                <w:sz w:val="20"/>
                <w:szCs w:val="20"/>
              </w:rPr>
            </w:pPr>
            <w:r w:rsidRPr="00E74B3C">
              <w:rPr>
                <w:sz w:val="20"/>
                <w:szCs w:val="20"/>
              </w:rPr>
              <w:t>(please print)</w:t>
            </w:r>
          </w:p>
        </w:tc>
        <w:tc>
          <w:tcPr>
            <w:tcW w:w="7755" w:type="dxa"/>
          </w:tcPr>
          <w:p w14:paraId="634458B1" w14:textId="77777777" w:rsidR="001F4D5F" w:rsidRDefault="001F4D5F" w:rsidP="001F4D5F"/>
        </w:tc>
      </w:tr>
      <w:tr w:rsidR="001F4D5F" w14:paraId="27FFFCD7" w14:textId="77777777" w:rsidTr="001F4D5F">
        <w:tc>
          <w:tcPr>
            <w:tcW w:w="2213" w:type="dxa"/>
          </w:tcPr>
          <w:p w14:paraId="5F9CFF1A" w14:textId="77777777" w:rsidR="001F4D5F" w:rsidRDefault="001F4D5F" w:rsidP="001F4D5F">
            <w:r>
              <w:t>Role:</w:t>
            </w:r>
          </w:p>
        </w:tc>
        <w:tc>
          <w:tcPr>
            <w:tcW w:w="7755" w:type="dxa"/>
          </w:tcPr>
          <w:p w14:paraId="24F361E9" w14:textId="77777777" w:rsidR="001F4D5F" w:rsidRDefault="001F4D5F" w:rsidP="001F4D5F"/>
        </w:tc>
      </w:tr>
      <w:tr w:rsidR="001F4D5F" w14:paraId="3B7A400E" w14:textId="77777777" w:rsidTr="001F4D5F">
        <w:tc>
          <w:tcPr>
            <w:tcW w:w="2213" w:type="dxa"/>
          </w:tcPr>
          <w:p w14:paraId="22938BBD" w14:textId="77777777" w:rsidR="001F4D5F" w:rsidRDefault="001F4D5F" w:rsidP="001F4D5F">
            <w:r>
              <w:t>Signature:</w:t>
            </w:r>
          </w:p>
          <w:p w14:paraId="11649E04" w14:textId="77777777" w:rsidR="001F4D5F" w:rsidRDefault="001F4D5F" w:rsidP="001F4D5F"/>
        </w:tc>
        <w:tc>
          <w:tcPr>
            <w:tcW w:w="7755" w:type="dxa"/>
          </w:tcPr>
          <w:p w14:paraId="5C0EB673" w14:textId="77777777" w:rsidR="001F4D5F" w:rsidRDefault="001F4D5F" w:rsidP="001F4D5F"/>
        </w:tc>
      </w:tr>
      <w:tr w:rsidR="001F4D5F" w14:paraId="0E99AF59" w14:textId="77777777" w:rsidTr="001F4D5F">
        <w:tc>
          <w:tcPr>
            <w:tcW w:w="2213" w:type="dxa"/>
          </w:tcPr>
          <w:p w14:paraId="5BF8309A" w14:textId="77777777" w:rsidR="001F4D5F" w:rsidRDefault="001F4D5F" w:rsidP="001F4D5F">
            <w:r>
              <w:t>Date:</w:t>
            </w:r>
          </w:p>
        </w:tc>
        <w:tc>
          <w:tcPr>
            <w:tcW w:w="7755" w:type="dxa"/>
          </w:tcPr>
          <w:p w14:paraId="5B6D63C7" w14:textId="77777777" w:rsidR="001F4D5F" w:rsidRDefault="001F4D5F" w:rsidP="001F4D5F"/>
        </w:tc>
      </w:tr>
    </w:tbl>
    <w:p w14:paraId="38E8ABF2" w14:textId="77777777" w:rsidR="00D24214" w:rsidRDefault="00D24214" w:rsidP="00D24214">
      <w:pPr>
        <w:ind w:left="567" w:hanging="567"/>
      </w:pPr>
    </w:p>
    <w:p w14:paraId="511928BF" w14:textId="77777777" w:rsidR="00D24214" w:rsidRDefault="00D24214" w:rsidP="00D24214">
      <w:pPr>
        <w:ind w:left="567" w:hanging="567"/>
      </w:pPr>
    </w:p>
    <w:p w14:paraId="4D3D0C51" w14:textId="77777777" w:rsidR="00D24214" w:rsidRDefault="00D24214" w:rsidP="00D24214">
      <w:pPr>
        <w:ind w:left="567" w:hanging="567"/>
        <w:sectPr w:rsidR="00D24214" w:rsidSect="001D7FB5">
          <w:pgSz w:w="11900" w:h="16840"/>
          <w:pgMar w:top="1247" w:right="561" w:bottom="1276" w:left="1361" w:header="709" w:footer="437" w:gutter="0"/>
          <w:cols w:space="708"/>
          <w:docGrid w:linePitch="326"/>
        </w:sectPr>
      </w:pPr>
    </w:p>
    <w:p w14:paraId="3A0E4C9A" w14:textId="77777777" w:rsidR="004F25A1" w:rsidRDefault="004F25A1" w:rsidP="001F4D5F">
      <w:pPr>
        <w:pStyle w:val="Heading1"/>
      </w:pPr>
      <w:bookmarkStart w:id="20" w:name="_Toc163136982"/>
      <w:r>
        <w:lastRenderedPageBreak/>
        <w:t>Appendix 4 – Link to Data Dictionary</w:t>
      </w:r>
      <w:bookmarkEnd w:id="20"/>
    </w:p>
    <w:p w14:paraId="519D8D3B" w14:textId="77777777" w:rsidR="004F25A1" w:rsidRDefault="004F25A1" w:rsidP="004B0D81"/>
    <w:p w14:paraId="243FEFBF" w14:textId="77777777" w:rsidR="004F25A1" w:rsidRDefault="004F25A1" w:rsidP="004B0D81">
      <w:pPr>
        <w:sectPr w:rsidR="004F25A1" w:rsidSect="001D7FB5">
          <w:pgSz w:w="11900" w:h="16840"/>
          <w:pgMar w:top="1247" w:right="561" w:bottom="1276" w:left="1361" w:header="709" w:footer="437" w:gutter="0"/>
          <w:cols w:space="708"/>
          <w:docGrid w:linePitch="326"/>
        </w:sectPr>
      </w:pPr>
    </w:p>
    <w:p w14:paraId="43DD27A9" w14:textId="0148D0E9" w:rsidR="001F4D5F" w:rsidRDefault="004F25A1" w:rsidP="001F4D5F">
      <w:pPr>
        <w:pStyle w:val="Heading1"/>
      </w:pPr>
      <w:bookmarkStart w:id="21" w:name="_Toc163136983"/>
      <w:r>
        <w:lastRenderedPageBreak/>
        <w:t>Appendix 5 – Data Publication Policy</w:t>
      </w:r>
      <w:bookmarkEnd w:id="21"/>
    </w:p>
    <w:p w14:paraId="4AE85DC5" w14:textId="567065BB" w:rsidR="004502A2" w:rsidRPr="004502A2" w:rsidRDefault="004502A2" w:rsidP="004502A2">
      <w:r w:rsidRPr="004502A2">
        <w:t xml:space="preserve">Prior to publication of any research findings based upon Society Registry data, the </w:t>
      </w:r>
      <w:r w:rsidR="00C22023">
        <w:t>I</w:t>
      </w:r>
      <w:r w:rsidRPr="004502A2">
        <w:t>nvestigator must comply with the following requirements (as set out in the Data Sharing Agreement):</w:t>
      </w:r>
    </w:p>
    <w:p w14:paraId="4F6225C8" w14:textId="6D647215" w:rsidR="004502A2" w:rsidRDefault="004502A2" w:rsidP="009A559B">
      <w:pPr>
        <w:pStyle w:val="ListParagraph"/>
        <w:numPr>
          <w:ilvl w:val="0"/>
          <w:numId w:val="21"/>
        </w:numPr>
      </w:pPr>
      <w:r w:rsidRPr="004502A2">
        <w:t xml:space="preserve">All materials to be published must be submitted to the relevant </w:t>
      </w:r>
      <w:r w:rsidR="00231845">
        <w:t>Registry Steering Committee</w:t>
      </w:r>
      <w:r w:rsidR="00231845" w:rsidRPr="004502A2">
        <w:t xml:space="preserve"> </w:t>
      </w:r>
      <w:r w:rsidRPr="004502A2">
        <w:t>for approval</w:t>
      </w:r>
      <w:r w:rsidR="00231845">
        <w:t xml:space="preserve">, </w:t>
      </w:r>
      <w:r w:rsidR="00C22023">
        <w:t xml:space="preserve">no less than </w:t>
      </w:r>
      <w:r w:rsidR="00231845">
        <w:t xml:space="preserve">4 weeks </w:t>
      </w:r>
      <w:r w:rsidR="00C22023">
        <w:t>prior to any</w:t>
      </w:r>
      <w:r w:rsidR="00231845">
        <w:t xml:space="preserve"> deadline</w:t>
      </w:r>
      <w:r w:rsidR="00C22023">
        <w:t xml:space="preserve"> for approval</w:t>
      </w:r>
      <w:r w:rsidRPr="004502A2">
        <w:t xml:space="preserve">. The approval of the </w:t>
      </w:r>
      <w:r w:rsidR="00231845">
        <w:t>Registry Steering Committee</w:t>
      </w:r>
      <w:r w:rsidR="00231845" w:rsidRPr="004502A2">
        <w:t xml:space="preserve"> </w:t>
      </w:r>
      <w:r w:rsidRPr="004502A2">
        <w:t>will be evidenced in writing.</w:t>
      </w:r>
    </w:p>
    <w:p w14:paraId="150B01AD" w14:textId="3BC7EE89" w:rsidR="00250935" w:rsidRDefault="00250935" w:rsidP="00370FDE">
      <w:pPr>
        <w:pStyle w:val="ListParagraph"/>
        <w:numPr>
          <w:ilvl w:val="0"/>
          <w:numId w:val="21"/>
        </w:numPr>
      </w:pPr>
      <w:r>
        <w:t>Registry Steering Committee members who respond to comments and proactively input to the publication should be credited with authorship</w:t>
      </w:r>
      <w:r w:rsidR="009A559B">
        <w:t xml:space="preserve">, additionally SfE </w:t>
      </w:r>
      <w:r w:rsidR="00DE5F33">
        <w:t>[title of registry]</w:t>
      </w:r>
      <w:r w:rsidR="009A559B">
        <w:t xml:space="preserve"> Registry Steering Committee 20XX </w:t>
      </w:r>
      <w:r w:rsidR="00370FDE">
        <w:t>should</w:t>
      </w:r>
      <w:r w:rsidR="009A559B">
        <w:t xml:space="preserve"> be credited as an author</w:t>
      </w:r>
      <w:r w:rsidR="00370FDE">
        <w:t>.</w:t>
      </w:r>
    </w:p>
    <w:p w14:paraId="129EA092" w14:textId="0016E39A" w:rsidR="00250935" w:rsidRPr="004502A2" w:rsidRDefault="00370FDE" w:rsidP="00370FDE">
      <w:pPr>
        <w:pStyle w:val="ListParagraph"/>
        <w:numPr>
          <w:ilvl w:val="0"/>
          <w:numId w:val="21"/>
        </w:numPr>
      </w:pPr>
      <w:r>
        <w:t>T</w:t>
      </w:r>
      <w:r w:rsidR="00250935">
        <w:t xml:space="preserve">he Registry </w:t>
      </w:r>
      <w:r w:rsidR="009A559B">
        <w:t xml:space="preserve">itself </w:t>
      </w:r>
      <w:r w:rsidR="00250935">
        <w:t xml:space="preserve">should be credited with authorship and/or acknowledged under the format of SfE </w:t>
      </w:r>
      <w:r w:rsidR="00DE5F33">
        <w:t>[title of registry]</w:t>
      </w:r>
      <w:r w:rsidR="00250935">
        <w:t xml:space="preserve"> Register</w:t>
      </w:r>
      <w:r>
        <w:t>, t</w:t>
      </w:r>
      <w:r w:rsidR="00250935" w:rsidRPr="004502A2">
        <w:t>he institution address of Starling House, 1600 Bristol Parkway North, Bristol, BS34 8YU</w:t>
      </w:r>
      <w:r>
        <w:t>,</w:t>
      </w:r>
      <w:r w:rsidR="00250935" w:rsidRPr="004502A2">
        <w:t xml:space="preserve"> and contact details of </w:t>
      </w:r>
      <w:hyperlink r:id="rId24" w:history="1">
        <w:r w:rsidR="00250935" w:rsidRPr="000A775B">
          <w:rPr>
            <w:rStyle w:val="Hyperlink"/>
          </w:rPr>
          <w:t>research@endocrinology.org</w:t>
        </w:r>
      </w:hyperlink>
      <w:r>
        <w:rPr>
          <w:rStyle w:val="Hyperlink"/>
        </w:rPr>
        <w:t>.</w:t>
      </w:r>
      <w:r w:rsidR="00250935">
        <w:t xml:space="preserve"> </w:t>
      </w:r>
    </w:p>
    <w:p w14:paraId="035053FC" w14:textId="001B59A6" w:rsidR="004502A2" w:rsidRPr="004502A2" w:rsidRDefault="004502A2" w:rsidP="00370FDE">
      <w:pPr>
        <w:pStyle w:val="ListParagraph"/>
        <w:numPr>
          <w:ilvl w:val="0"/>
          <w:numId w:val="21"/>
        </w:numPr>
      </w:pPr>
      <w:r w:rsidRPr="004502A2">
        <w:t>All publications that do not include author contributions from the</w:t>
      </w:r>
      <w:r w:rsidR="00231845" w:rsidRPr="00231845">
        <w:t xml:space="preserve"> </w:t>
      </w:r>
      <w:r w:rsidR="00231845">
        <w:t>Registry Steering Committee</w:t>
      </w:r>
      <w:r w:rsidRPr="004502A2">
        <w:t xml:space="preserve"> must include a disclaimer confirming that any views and opinions expressed in the material </w:t>
      </w:r>
      <w:r w:rsidR="00DE5F33">
        <w:t>may</w:t>
      </w:r>
      <w:r w:rsidR="00DE5F33" w:rsidRPr="004502A2">
        <w:t xml:space="preserve"> </w:t>
      </w:r>
      <w:r w:rsidRPr="004502A2">
        <w:t>not re</w:t>
      </w:r>
      <w:r w:rsidR="002361E5">
        <w:t xml:space="preserve">flect the </w:t>
      </w:r>
      <w:r w:rsidR="00DE5F33">
        <w:t>position</w:t>
      </w:r>
      <w:r w:rsidR="00CF6B48">
        <w:t xml:space="preserve"> </w:t>
      </w:r>
      <w:r w:rsidR="002361E5">
        <w:t>of the Society f</w:t>
      </w:r>
      <w:r w:rsidRPr="004502A2">
        <w:t>or Endocrinology.</w:t>
      </w:r>
      <w:r w:rsidR="00231845">
        <w:t xml:space="preserve"> </w:t>
      </w:r>
      <w:r w:rsidR="00231845" w:rsidRPr="001E0ECE">
        <w:t>‘</w:t>
      </w:r>
      <w:r w:rsidR="00231845" w:rsidRPr="00370FDE">
        <w:t>The Society for Endocrinology has not reviewed this document and therefore this document may not reflect the views and opinions of the Society for Endocrinology’</w:t>
      </w:r>
      <w:r w:rsidR="00DE5F33">
        <w:t>.</w:t>
      </w:r>
    </w:p>
    <w:p w14:paraId="3BB2945C" w14:textId="690CF5A7" w:rsidR="004502A2" w:rsidRPr="004502A2" w:rsidRDefault="00250935" w:rsidP="00B0730E">
      <w:r>
        <w:t>The Society for Endocrinology can be approached for endorsement via the Clinical Committee under the endorsement policy</w:t>
      </w:r>
      <w:r w:rsidR="00B0730E">
        <w:t>.</w:t>
      </w:r>
      <w:r>
        <w:t xml:space="preserve"> </w:t>
      </w:r>
    </w:p>
    <w:p w14:paraId="4CF24E89" w14:textId="2890ECAC" w:rsidR="004502A2" w:rsidRPr="00B0730E" w:rsidRDefault="004502A2" w:rsidP="004502A2">
      <w:pPr>
        <w:rPr>
          <w:b/>
        </w:rPr>
      </w:pPr>
      <w:r w:rsidRPr="004502A2">
        <w:rPr>
          <w:b/>
        </w:rPr>
        <w:t>Di</w:t>
      </w:r>
      <w:r w:rsidRPr="00B0730E">
        <w:rPr>
          <w:b/>
        </w:rPr>
        <w:t xml:space="preserve">sclaimer if Publication does not include authors from The Society for Endocrinology </w:t>
      </w:r>
    </w:p>
    <w:p w14:paraId="06BBC8B2" w14:textId="77777777" w:rsidR="004502A2" w:rsidRPr="004502A2" w:rsidRDefault="004502A2" w:rsidP="004502A2">
      <w:r w:rsidRPr="00B0730E">
        <w:t>The views and opinions expressed in this article are those of the authors and do not reflect the views of the Society for Endocrinology.</w:t>
      </w:r>
      <w:r w:rsidRPr="004502A2">
        <w:t xml:space="preserve"> </w:t>
      </w:r>
    </w:p>
    <w:p w14:paraId="75E0316D" w14:textId="77777777" w:rsidR="004502A2" w:rsidRPr="004502A2" w:rsidRDefault="004502A2" w:rsidP="004502A2">
      <w:pPr>
        <w:rPr>
          <w:b/>
        </w:rPr>
      </w:pPr>
      <w:r w:rsidRPr="004502A2">
        <w:rPr>
          <w:b/>
        </w:rPr>
        <w:t>Disclaimer regarding Data Availability</w:t>
      </w:r>
    </w:p>
    <w:p w14:paraId="34D51FF4" w14:textId="77777777" w:rsidR="004502A2" w:rsidRPr="004502A2" w:rsidRDefault="004502A2" w:rsidP="004502A2">
      <w:r w:rsidRPr="004502A2">
        <w:t>The datasets generated or analysed during the current study are not available publicly but are available to access through a Data Sharing Agreement with the Society for Endocrinology.</w:t>
      </w:r>
    </w:p>
    <w:p w14:paraId="6F37A922" w14:textId="77777777" w:rsidR="004502A2" w:rsidRPr="004502A2" w:rsidRDefault="004502A2" w:rsidP="004502A2">
      <w:pPr>
        <w:rPr>
          <w:b/>
        </w:rPr>
      </w:pPr>
      <w:r w:rsidRPr="004502A2">
        <w:rPr>
          <w:b/>
        </w:rPr>
        <w:t>Text to use in Methods section of abstract</w:t>
      </w:r>
    </w:p>
    <w:p w14:paraId="456060DB" w14:textId="44577FBF" w:rsidR="004502A2" w:rsidRPr="004502A2" w:rsidRDefault="004502A2" w:rsidP="004502A2">
      <w:r w:rsidRPr="004502A2">
        <w:t>Refer to the data or the registry as ‘The</w:t>
      </w:r>
      <w:r w:rsidR="00250935">
        <w:t xml:space="preserve"> SfE</w:t>
      </w:r>
      <w:r w:rsidRPr="004502A2">
        <w:t xml:space="preserve"> </w:t>
      </w:r>
      <w:r w:rsidR="00DE5F33">
        <w:t>[name of registry]</w:t>
      </w:r>
      <w:r w:rsidRPr="004502A2">
        <w:t xml:space="preserve"> Registry’ </w:t>
      </w:r>
    </w:p>
    <w:p w14:paraId="1D7093CB" w14:textId="77777777" w:rsidR="004502A2" w:rsidRPr="004502A2" w:rsidRDefault="004502A2" w:rsidP="004502A2">
      <w:pPr>
        <w:rPr>
          <w:b/>
        </w:rPr>
      </w:pPr>
      <w:r w:rsidRPr="004502A2">
        <w:rPr>
          <w:b/>
        </w:rPr>
        <w:t>Text to use in Methods section of full text</w:t>
      </w:r>
    </w:p>
    <w:p w14:paraId="02E28B3F" w14:textId="789A8D2A" w:rsidR="004502A2" w:rsidRPr="004502A2" w:rsidRDefault="004502A2" w:rsidP="004502A2">
      <w:r w:rsidRPr="004502A2">
        <w:t xml:space="preserve">The </w:t>
      </w:r>
      <w:r w:rsidR="00250935">
        <w:t xml:space="preserve">‘SfE </w:t>
      </w:r>
      <w:r w:rsidR="00DE5F33">
        <w:t>[name of registry]</w:t>
      </w:r>
      <w:r w:rsidR="00DE5F33" w:rsidRPr="004502A2">
        <w:t xml:space="preserve"> </w:t>
      </w:r>
      <w:r w:rsidRPr="004502A2">
        <w:t xml:space="preserve">Registry is an international database of pseudonymised information on patients with </w:t>
      </w:r>
      <w:r w:rsidR="00DE5F33">
        <w:t>[name of condition]</w:t>
      </w:r>
      <w:r w:rsidRPr="004502A2">
        <w:t xml:space="preserve"> and is approved by the Medical Research Ethics Committee in the United Kingdom as a research database of information that is collected as part of routine clinical care (Ethics Ref). The data within this registry are deposited by clinicians following informed consent from patients or guardians</w:t>
      </w:r>
      <w:r w:rsidR="00250935">
        <w:t xml:space="preserve"> and managed by the Society for Endocrinology</w:t>
      </w:r>
      <w:r w:rsidRPr="004502A2">
        <w:t>.</w:t>
      </w:r>
    </w:p>
    <w:p w14:paraId="4804A1B7" w14:textId="5C267EC4" w:rsidR="004502A2" w:rsidRPr="004502A2" w:rsidRDefault="00DE5F33" w:rsidP="004502A2">
      <w:pPr>
        <w:rPr>
          <w:b/>
        </w:rPr>
      </w:pPr>
      <w:r>
        <w:rPr>
          <w:b/>
        </w:rPr>
        <w:t>Society l</w:t>
      </w:r>
      <w:r w:rsidR="004502A2" w:rsidRPr="004502A2">
        <w:rPr>
          <w:b/>
        </w:rPr>
        <w:t>ogos can be made available for</w:t>
      </w:r>
      <w:r w:rsidR="008F77D2">
        <w:rPr>
          <w:b/>
        </w:rPr>
        <w:t>:</w:t>
      </w:r>
      <w:r w:rsidR="004502A2" w:rsidRPr="004502A2">
        <w:rPr>
          <w:b/>
        </w:rPr>
        <w:t xml:space="preserve"> </w:t>
      </w:r>
    </w:p>
    <w:p w14:paraId="74BCBB4D" w14:textId="77777777" w:rsidR="004502A2" w:rsidRPr="004502A2" w:rsidRDefault="004502A2" w:rsidP="004502A2">
      <w:pPr>
        <w:pStyle w:val="ListParagraph"/>
        <w:numPr>
          <w:ilvl w:val="0"/>
          <w:numId w:val="19"/>
        </w:numPr>
      </w:pPr>
      <w:r w:rsidRPr="004502A2">
        <w:t>Opening slides of original scient</w:t>
      </w:r>
      <w:r w:rsidR="006962E1">
        <w:t>if</w:t>
      </w:r>
      <w:r w:rsidRPr="004502A2">
        <w:t>ic communications</w:t>
      </w:r>
    </w:p>
    <w:p w14:paraId="076A774E" w14:textId="77777777" w:rsidR="004502A2" w:rsidRPr="004502A2" w:rsidRDefault="004502A2" w:rsidP="004502A2">
      <w:pPr>
        <w:pStyle w:val="ListParagraph"/>
        <w:numPr>
          <w:ilvl w:val="0"/>
          <w:numId w:val="19"/>
        </w:numPr>
      </w:pPr>
      <w:r w:rsidRPr="004502A2">
        <w:t>Opening slide or last slide of reviews or updates</w:t>
      </w:r>
    </w:p>
    <w:p w14:paraId="1A6FA841" w14:textId="77777777" w:rsidR="004502A2" w:rsidRPr="004502A2" w:rsidRDefault="004502A2" w:rsidP="004502A2">
      <w:pPr>
        <w:pStyle w:val="ListParagraph"/>
        <w:numPr>
          <w:ilvl w:val="0"/>
          <w:numId w:val="19"/>
        </w:numPr>
      </w:pPr>
      <w:r w:rsidRPr="004502A2">
        <w:t>At the top or bottom of physical or e-posters</w:t>
      </w:r>
    </w:p>
    <w:p w14:paraId="489692F0" w14:textId="77777777" w:rsidR="001F4D5F" w:rsidRDefault="004502A2" w:rsidP="004502A2">
      <w:r w:rsidRPr="004502A2">
        <w:lastRenderedPageBreak/>
        <w:t xml:space="preserve">Please contact the Society at </w:t>
      </w:r>
      <w:hyperlink r:id="rId25" w:history="1">
        <w:r w:rsidRPr="000A775B">
          <w:rPr>
            <w:rStyle w:val="Hyperlink"/>
          </w:rPr>
          <w:t>research@endocrinology.org</w:t>
        </w:r>
      </w:hyperlink>
      <w:r>
        <w:t xml:space="preserve"> </w:t>
      </w:r>
      <w:r w:rsidRPr="004502A2">
        <w:t>to make requests for logos or to check any references to the register within the body of your publication</w:t>
      </w:r>
      <w:r>
        <w:t xml:space="preserve">. </w:t>
      </w:r>
    </w:p>
    <w:sectPr w:rsidR="001F4D5F" w:rsidSect="001D7FB5">
      <w:pgSz w:w="11900" w:h="16840"/>
      <w:pgMar w:top="1247" w:right="561" w:bottom="1276" w:left="1361" w:header="709" w:footer="4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B4928" w14:textId="77777777" w:rsidR="00C40B37" w:rsidRDefault="00C40B37" w:rsidP="0019586F">
      <w:r>
        <w:separator/>
      </w:r>
    </w:p>
  </w:endnote>
  <w:endnote w:type="continuationSeparator" w:id="0">
    <w:p w14:paraId="7CCEDB86" w14:textId="77777777" w:rsidR="00C40B37" w:rsidRDefault="00C40B37" w:rsidP="0019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tham Black">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039F" w14:textId="3B4DF63A" w:rsidR="00CF6B48" w:rsidRDefault="00CF6B4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22</w:t>
    </w:r>
    <w:r>
      <w:rPr>
        <w:caps/>
        <w:noProof/>
        <w:color w:val="4F81BD" w:themeColor="accent1"/>
      </w:rPr>
      <w:fldChar w:fldCharType="end"/>
    </w:r>
  </w:p>
  <w:p w14:paraId="662BB4CA" w14:textId="77777777" w:rsidR="00CF6B48" w:rsidRDefault="00CF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89486"/>
      <w:docPartObj>
        <w:docPartGallery w:val="Page Numbers (Bottom of Page)"/>
        <w:docPartUnique/>
      </w:docPartObj>
    </w:sdtPr>
    <w:sdtEndPr>
      <w:rPr>
        <w:noProof/>
      </w:rPr>
    </w:sdtEndPr>
    <w:sdtContent>
      <w:p w14:paraId="2B3454DC" w14:textId="7BD1235F" w:rsidR="00CF6B48" w:rsidRDefault="00CF6B4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11A847D4" w14:textId="77777777" w:rsidR="00CF6B48" w:rsidRDefault="00CF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5BD2" w14:textId="77777777" w:rsidR="00CF6B48" w:rsidRDefault="00CF6B48" w:rsidP="0019586F">
    <w:pPr>
      <w:pStyle w:val="Footer"/>
    </w:pPr>
    <w:r>
      <w:rPr>
        <w:noProof/>
        <w:lang w:eastAsia="en-GB"/>
      </w:rPr>
      <mc:AlternateContent>
        <mc:Choice Requires="wps">
          <w:drawing>
            <wp:anchor distT="0" distB="0" distL="114300" distR="114300" simplePos="0" relativeHeight="251650560" behindDoc="0" locked="0" layoutInCell="1" allowOverlap="1" wp14:anchorId="21487525" wp14:editId="73C2D44B">
              <wp:simplePos x="0" y="0"/>
              <wp:positionH relativeFrom="column">
                <wp:posOffset>-505460</wp:posOffset>
              </wp:positionH>
              <wp:positionV relativeFrom="paragraph">
                <wp:posOffset>241300</wp:posOffset>
              </wp:positionV>
              <wp:extent cx="10106660"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10106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60A33" id="Straight Connector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9pt" to="7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8CD3" w14:textId="77777777" w:rsidR="00C40B37" w:rsidRDefault="00C40B37" w:rsidP="0019586F">
      <w:r>
        <w:separator/>
      </w:r>
    </w:p>
  </w:footnote>
  <w:footnote w:type="continuationSeparator" w:id="0">
    <w:p w14:paraId="6743D2EB" w14:textId="77777777" w:rsidR="00C40B37" w:rsidRDefault="00C40B37" w:rsidP="0019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EA51" w14:textId="77777777" w:rsidR="00CF6B48" w:rsidRDefault="00CF6B48" w:rsidP="00203A8C">
    <w:pPr>
      <w:pStyle w:val="Header"/>
    </w:pPr>
    <w:r>
      <w:rPr>
        <w:noProof/>
        <w:lang w:eastAsia="en-GB"/>
      </w:rPr>
      <w:drawing>
        <wp:anchor distT="0" distB="0" distL="114300" distR="114300" simplePos="0" relativeHeight="251661312" behindDoc="0" locked="0" layoutInCell="1" allowOverlap="1" wp14:anchorId="13F78893" wp14:editId="1A3F2C9F">
          <wp:simplePos x="0" y="0"/>
          <wp:positionH relativeFrom="column">
            <wp:posOffset>-504190</wp:posOffset>
          </wp:positionH>
          <wp:positionV relativeFrom="paragraph">
            <wp:posOffset>334010</wp:posOffset>
          </wp:positionV>
          <wp:extent cx="2199600" cy="5868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 SocietyForEndocrinology.png"/>
                  <pic:cNvPicPr/>
                </pic:nvPicPr>
                <pic:blipFill>
                  <a:blip r:embed="rId1">
                    <a:extLst>
                      <a:ext uri="{28A0092B-C50C-407E-A947-70E740481C1C}">
                        <a14:useLocalDpi xmlns:a14="http://schemas.microsoft.com/office/drawing/2010/main" val="0"/>
                      </a:ext>
                    </a:extLst>
                  </a:blip>
                  <a:stretch>
                    <a:fillRect/>
                  </a:stretch>
                </pic:blipFill>
                <pic:spPr>
                  <a:xfrm>
                    <a:off x="0" y="0"/>
                    <a:ext cx="2199600"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049F929A" wp14:editId="78C7D251">
              <wp:simplePos x="0" y="0"/>
              <wp:positionH relativeFrom="column">
                <wp:posOffset>-504190</wp:posOffset>
              </wp:positionH>
              <wp:positionV relativeFrom="paragraph">
                <wp:posOffset>1340485</wp:posOffset>
              </wp:positionV>
              <wp:extent cx="6840000" cy="0"/>
              <wp:effectExtent l="0" t="0" r="18415" b="19050"/>
              <wp:wrapNone/>
              <wp:docPr id="11" name="Straight Connector 11"/>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77831"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05.55pt" to="498.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24DC6C5B" wp14:editId="3735AD5C">
              <wp:simplePos x="0" y="0"/>
              <wp:positionH relativeFrom="column">
                <wp:posOffset>-504190</wp:posOffset>
              </wp:positionH>
              <wp:positionV relativeFrom="paragraph">
                <wp:posOffset>-62230</wp:posOffset>
              </wp:positionV>
              <wp:extent cx="684000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7D1B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4.9pt" to="498.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" strokecolor="#4579b8 [3044]"/>
          </w:pict>
        </mc:Fallback>
      </mc:AlternateContent>
    </w:r>
  </w:p>
  <w:p w14:paraId="1FBDFAC5" w14:textId="77777777" w:rsidR="00CF6B48" w:rsidRPr="00203A8C" w:rsidRDefault="00CF6B48" w:rsidP="0020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096B8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C3358B"/>
    <w:multiLevelType w:val="hybridMultilevel"/>
    <w:tmpl w:val="4E86B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F7B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B1F32"/>
    <w:multiLevelType w:val="hybridMultilevel"/>
    <w:tmpl w:val="FCA296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016AD"/>
    <w:multiLevelType w:val="hybridMultilevel"/>
    <w:tmpl w:val="A34062E4"/>
    <w:lvl w:ilvl="0" w:tplc="CD60685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6461C0"/>
    <w:multiLevelType w:val="hybridMultilevel"/>
    <w:tmpl w:val="BECAD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62325"/>
    <w:multiLevelType w:val="hybridMultilevel"/>
    <w:tmpl w:val="0024B6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FB4EA3"/>
    <w:multiLevelType w:val="hybridMultilevel"/>
    <w:tmpl w:val="6DBC2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43743C"/>
    <w:multiLevelType w:val="hybridMultilevel"/>
    <w:tmpl w:val="745A2B42"/>
    <w:lvl w:ilvl="0" w:tplc="08090003">
      <w:start w:val="1"/>
      <w:numFmt w:val="bullet"/>
      <w:lvlText w:val="o"/>
      <w:lvlJc w:val="left"/>
      <w:pPr>
        <w:ind w:left="720" w:hanging="360"/>
      </w:pPr>
      <w:rPr>
        <w:rFonts w:ascii="Courier New" w:hAnsi="Courier New" w:cs="Courier New" w:hint="default"/>
      </w:rPr>
    </w:lvl>
    <w:lvl w:ilvl="1" w:tplc="CB9492F6">
      <w:numFmt w:val="bullet"/>
      <w:lvlText w:val="•"/>
      <w:lvlJc w:val="left"/>
      <w:pPr>
        <w:ind w:left="1800" w:hanging="720"/>
      </w:pPr>
      <w:rPr>
        <w:rFonts w:ascii="Calibri" w:eastAsia="MS Mincho"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3CE6"/>
    <w:multiLevelType w:val="hybridMultilevel"/>
    <w:tmpl w:val="10909F8E"/>
    <w:lvl w:ilvl="0" w:tplc="CDD27F0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E0782A"/>
    <w:multiLevelType w:val="hybridMultilevel"/>
    <w:tmpl w:val="AE429314"/>
    <w:lvl w:ilvl="0" w:tplc="2F203B62">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97AFE"/>
    <w:multiLevelType w:val="hybridMultilevel"/>
    <w:tmpl w:val="876E0FF8"/>
    <w:lvl w:ilvl="0" w:tplc="B99406E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F5F63"/>
    <w:multiLevelType w:val="hybridMultilevel"/>
    <w:tmpl w:val="9530E95E"/>
    <w:lvl w:ilvl="0" w:tplc="1A88415A">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4A6F"/>
    <w:multiLevelType w:val="hybridMultilevel"/>
    <w:tmpl w:val="A36A8664"/>
    <w:lvl w:ilvl="0" w:tplc="CF068ECC">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86A36"/>
    <w:multiLevelType w:val="hybridMultilevel"/>
    <w:tmpl w:val="EC10B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73C75"/>
    <w:multiLevelType w:val="hybridMultilevel"/>
    <w:tmpl w:val="30E884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765BD"/>
    <w:multiLevelType w:val="hybridMultilevel"/>
    <w:tmpl w:val="B260A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E3C96"/>
    <w:multiLevelType w:val="hybridMultilevel"/>
    <w:tmpl w:val="EB7A6C48"/>
    <w:lvl w:ilvl="0" w:tplc="069AA6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C5D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795E98"/>
    <w:multiLevelType w:val="hybridMultilevel"/>
    <w:tmpl w:val="5852B6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F5555"/>
    <w:multiLevelType w:val="hybridMultilevel"/>
    <w:tmpl w:val="A7DAD6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20"/>
  </w:num>
  <w:num w:numId="5">
    <w:abstractNumId w:val="11"/>
  </w:num>
  <w:num w:numId="6">
    <w:abstractNumId w:val="1"/>
  </w:num>
  <w:num w:numId="7">
    <w:abstractNumId w:val="13"/>
  </w:num>
  <w:num w:numId="8">
    <w:abstractNumId w:val="9"/>
  </w:num>
  <w:num w:numId="9">
    <w:abstractNumId w:val="14"/>
  </w:num>
  <w:num w:numId="10">
    <w:abstractNumId w:val="16"/>
  </w:num>
  <w:num w:numId="11">
    <w:abstractNumId w:val="21"/>
  </w:num>
  <w:num w:numId="12">
    <w:abstractNumId w:val="4"/>
  </w:num>
  <w:num w:numId="13">
    <w:abstractNumId w:val="19"/>
  </w:num>
  <w:num w:numId="14">
    <w:abstractNumId w:val="3"/>
  </w:num>
  <w:num w:numId="15">
    <w:abstractNumId w:val="18"/>
  </w:num>
  <w:num w:numId="16">
    <w:abstractNumId w:val="15"/>
  </w:num>
  <w:num w:numId="17">
    <w:abstractNumId w:val="7"/>
  </w:num>
  <w:num w:numId="18">
    <w:abstractNumId w:val="12"/>
  </w:num>
  <w:num w:numId="19">
    <w:abstractNumId w:val="17"/>
  </w:num>
  <w:num w:numId="20">
    <w:abstractNumId w:val="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zGyNDc0MTc1NDVV0lEKTi0uzszPAykwrAUA9cA3KSwAAAA="/>
  </w:docVars>
  <w:rsids>
    <w:rsidRoot w:val="00E61DDF"/>
    <w:rsid w:val="0000002B"/>
    <w:rsid w:val="00001B57"/>
    <w:rsid w:val="00010BE7"/>
    <w:rsid w:val="00014241"/>
    <w:rsid w:val="00024A58"/>
    <w:rsid w:val="00032EA4"/>
    <w:rsid w:val="000436B0"/>
    <w:rsid w:val="000526BC"/>
    <w:rsid w:val="00052C8E"/>
    <w:rsid w:val="00062D04"/>
    <w:rsid w:val="000957C4"/>
    <w:rsid w:val="000B4FA9"/>
    <w:rsid w:val="000C449B"/>
    <w:rsid w:val="000C692E"/>
    <w:rsid w:val="000F4098"/>
    <w:rsid w:val="00111F48"/>
    <w:rsid w:val="00112EBF"/>
    <w:rsid w:val="00131F8D"/>
    <w:rsid w:val="00132B5C"/>
    <w:rsid w:val="001459FF"/>
    <w:rsid w:val="00181775"/>
    <w:rsid w:val="00182E41"/>
    <w:rsid w:val="0019586F"/>
    <w:rsid w:val="001C38C5"/>
    <w:rsid w:val="001C531F"/>
    <w:rsid w:val="001D7FB5"/>
    <w:rsid w:val="001E0ECE"/>
    <w:rsid w:val="001E20B7"/>
    <w:rsid w:val="001E6F81"/>
    <w:rsid w:val="001F1686"/>
    <w:rsid w:val="001F3650"/>
    <w:rsid w:val="001F4D5F"/>
    <w:rsid w:val="00203A8C"/>
    <w:rsid w:val="00205C44"/>
    <w:rsid w:val="002153F6"/>
    <w:rsid w:val="00231845"/>
    <w:rsid w:val="002323E1"/>
    <w:rsid w:val="002361E5"/>
    <w:rsid w:val="002400BB"/>
    <w:rsid w:val="002503B4"/>
    <w:rsid w:val="00250935"/>
    <w:rsid w:val="002606B8"/>
    <w:rsid w:val="0027443B"/>
    <w:rsid w:val="00283428"/>
    <w:rsid w:val="00290079"/>
    <w:rsid w:val="00295612"/>
    <w:rsid w:val="002A7FF2"/>
    <w:rsid w:val="002B00C8"/>
    <w:rsid w:val="002B0E10"/>
    <w:rsid w:val="002B5389"/>
    <w:rsid w:val="002C0866"/>
    <w:rsid w:val="002F6222"/>
    <w:rsid w:val="003032EA"/>
    <w:rsid w:val="003263BC"/>
    <w:rsid w:val="00327DB6"/>
    <w:rsid w:val="00342D12"/>
    <w:rsid w:val="00343217"/>
    <w:rsid w:val="00345671"/>
    <w:rsid w:val="00354B90"/>
    <w:rsid w:val="00355BF5"/>
    <w:rsid w:val="00357053"/>
    <w:rsid w:val="00362C93"/>
    <w:rsid w:val="00370FDE"/>
    <w:rsid w:val="003720FF"/>
    <w:rsid w:val="00375960"/>
    <w:rsid w:val="00375984"/>
    <w:rsid w:val="00376AB8"/>
    <w:rsid w:val="003942D6"/>
    <w:rsid w:val="00396D29"/>
    <w:rsid w:val="003C38C9"/>
    <w:rsid w:val="003C5EAB"/>
    <w:rsid w:val="003C6238"/>
    <w:rsid w:val="003D7517"/>
    <w:rsid w:val="003F2733"/>
    <w:rsid w:val="003F6460"/>
    <w:rsid w:val="00401343"/>
    <w:rsid w:val="00406712"/>
    <w:rsid w:val="00436049"/>
    <w:rsid w:val="00447762"/>
    <w:rsid w:val="004502A2"/>
    <w:rsid w:val="004626A1"/>
    <w:rsid w:val="004715DC"/>
    <w:rsid w:val="00485109"/>
    <w:rsid w:val="00486FD7"/>
    <w:rsid w:val="004901D0"/>
    <w:rsid w:val="004A4763"/>
    <w:rsid w:val="004B0D81"/>
    <w:rsid w:val="004D0E44"/>
    <w:rsid w:val="004D2933"/>
    <w:rsid w:val="004D31E3"/>
    <w:rsid w:val="004D37C2"/>
    <w:rsid w:val="004D4157"/>
    <w:rsid w:val="004E1FEE"/>
    <w:rsid w:val="004E68AD"/>
    <w:rsid w:val="004F10FB"/>
    <w:rsid w:val="004F25A1"/>
    <w:rsid w:val="0050519F"/>
    <w:rsid w:val="0051365E"/>
    <w:rsid w:val="00557C3A"/>
    <w:rsid w:val="00561179"/>
    <w:rsid w:val="00561DFC"/>
    <w:rsid w:val="0058064B"/>
    <w:rsid w:val="0059063A"/>
    <w:rsid w:val="005A3807"/>
    <w:rsid w:val="005B41D8"/>
    <w:rsid w:val="005D5DF5"/>
    <w:rsid w:val="005E0074"/>
    <w:rsid w:val="005E1401"/>
    <w:rsid w:val="005F44AD"/>
    <w:rsid w:val="005F720E"/>
    <w:rsid w:val="00615F85"/>
    <w:rsid w:val="006168F5"/>
    <w:rsid w:val="00650643"/>
    <w:rsid w:val="0066106C"/>
    <w:rsid w:val="00672C25"/>
    <w:rsid w:val="006750C8"/>
    <w:rsid w:val="00677D02"/>
    <w:rsid w:val="00682E14"/>
    <w:rsid w:val="00695838"/>
    <w:rsid w:val="006962E1"/>
    <w:rsid w:val="006977EF"/>
    <w:rsid w:val="006A22FC"/>
    <w:rsid w:val="006B3997"/>
    <w:rsid w:val="006B65A0"/>
    <w:rsid w:val="006B719E"/>
    <w:rsid w:val="00705F39"/>
    <w:rsid w:val="00715D31"/>
    <w:rsid w:val="007235D7"/>
    <w:rsid w:val="00731F6E"/>
    <w:rsid w:val="00732316"/>
    <w:rsid w:val="00736E91"/>
    <w:rsid w:val="0074760D"/>
    <w:rsid w:val="00760785"/>
    <w:rsid w:val="00762CFF"/>
    <w:rsid w:val="0076560F"/>
    <w:rsid w:val="00771696"/>
    <w:rsid w:val="00776142"/>
    <w:rsid w:val="00781E0D"/>
    <w:rsid w:val="007A7CB3"/>
    <w:rsid w:val="007B323E"/>
    <w:rsid w:val="007B3F0C"/>
    <w:rsid w:val="007C1D8C"/>
    <w:rsid w:val="007D58F4"/>
    <w:rsid w:val="007F71C6"/>
    <w:rsid w:val="0080308D"/>
    <w:rsid w:val="0080732B"/>
    <w:rsid w:val="0082581E"/>
    <w:rsid w:val="00831545"/>
    <w:rsid w:val="00841745"/>
    <w:rsid w:val="00855B6E"/>
    <w:rsid w:val="00855BEE"/>
    <w:rsid w:val="00872A24"/>
    <w:rsid w:val="00874A23"/>
    <w:rsid w:val="00886EEF"/>
    <w:rsid w:val="008A7357"/>
    <w:rsid w:val="008C2F47"/>
    <w:rsid w:val="008D36E6"/>
    <w:rsid w:val="008D5989"/>
    <w:rsid w:val="008F77D2"/>
    <w:rsid w:val="00902394"/>
    <w:rsid w:val="00935A81"/>
    <w:rsid w:val="009530AE"/>
    <w:rsid w:val="00954EE0"/>
    <w:rsid w:val="0095602B"/>
    <w:rsid w:val="00960382"/>
    <w:rsid w:val="00966E13"/>
    <w:rsid w:val="00966EC9"/>
    <w:rsid w:val="00973D4D"/>
    <w:rsid w:val="00977E1E"/>
    <w:rsid w:val="00985C7B"/>
    <w:rsid w:val="009939D1"/>
    <w:rsid w:val="009A032A"/>
    <w:rsid w:val="009A559B"/>
    <w:rsid w:val="009D22DE"/>
    <w:rsid w:val="009E051D"/>
    <w:rsid w:val="009E63D0"/>
    <w:rsid w:val="009E743C"/>
    <w:rsid w:val="009F22D0"/>
    <w:rsid w:val="009F7CC3"/>
    <w:rsid w:val="00A3761F"/>
    <w:rsid w:val="00A50E26"/>
    <w:rsid w:val="00A522A6"/>
    <w:rsid w:val="00A57B2D"/>
    <w:rsid w:val="00A83EAD"/>
    <w:rsid w:val="00AA7E35"/>
    <w:rsid w:val="00AB7989"/>
    <w:rsid w:val="00AC42A0"/>
    <w:rsid w:val="00AC4F94"/>
    <w:rsid w:val="00AE25C5"/>
    <w:rsid w:val="00B046B2"/>
    <w:rsid w:val="00B0730E"/>
    <w:rsid w:val="00B246D2"/>
    <w:rsid w:val="00B26317"/>
    <w:rsid w:val="00B42454"/>
    <w:rsid w:val="00B67985"/>
    <w:rsid w:val="00B74098"/>
    <w:rsid w:val="00B75132"/>
    <w:rsid w:val="00B827F5"/>
    <w:rsid w:val="00B92F33"/>
    <w:rsid w:val="00BC5F1B"/>
    <w:rsid w:val="00BC79E4"/>
    <w:rsid w:val="00BD77A5"/>
    <w:rsid w:val="00BE47FE"/>
    <w:rsid w:val="00BF38FD"/>
    <w:rsid w:val="00C15339"/>
    <w:rsid w:val="00C20659"/>
    <w:rsid w:val="00C22023"/>
    <w:rsid w:val="00C24BB2"/>
    <w:rsid w:val="00C40B37"/>
    <w:rsid w:val="00C43D4B"/>
    <w:rsid w:val="00C64675"/>
    <w:rsid w:val="00C71411"/>
    <w:rsid w:val="00C75098"/>
    <w:rsid w:val="00C834A2"/>
    <w:rsid w:val="00C86500"/>
    <w:rsid w:val="00C87B8D"/>
    <w:rsid w:val="00CA2946"/>
    <w:rsid w:val="00CA2B34"/>
    <w:rsid w:val="00CB54FD"/>
    <w:rsid w:val="00CF6B48"/>
    <w:rsid w:val="00D00E3D"/>
    <w:rsid w:val="00D1122A"/>
    <w:rsid w:val="00D2372C"/>
    <w:rsid w:val="00D24214"/>
    <w:rsid w:val="00D27B1B"/>
    <w:rsid w:val="00D35EA1"/>
    <w:rsid w:val="00D426C6"/>
    <w:rsid w:val="00D4461C"/>
    <w:rsid w:val="00D6394F"/>
    <w:rsid w:val="00D911BE"/>
    <w:rsid w:val="00DA2F39"/>
    <w:rsid w:val="00DD2D10"/>
    <w:rsid w:val="00DD354A"/>
    <w:rsid w:val="00DE2560"/>
    <w:rsid w:val="00DE5F33"/>
    <w:rsid w:val="00E31EC2"/>
    <w:rsid w:val="00E36EDE"/>
    <w:rsid w:val="00E3727E"/>
    <w:rsid w:val="00E43868"/>
    <w:rsid w:val="00E4747D"/>
    <w:rsid w:val="00E61DDF"/>
    <w:rsid w:val="00E70897"/>
    <w:rsid w:val="00E70DBE"/>
    <w:rsid w:val="00E74B3C"/>
    <w:rsid w:val="00E84FF4"/>
    <w:rsid w:val="00E902BF"/>
    <w:rsid w:val="00EA0448"/>
    <w:rsid w:val="00EA4FE7"/>
    <w:rsid w:val="00EC55F8"/>
    <w:rsid w:val="00EC7B12"/>
    <w:rsid w:val="00ED74C7"/>
    <w:rsid w:val="00EE1FC7"/>
    <w:rsid w:val="00EF5D58"/>
    <w:rsid w:val="00F00115"/>
    <w:rsid w:val="00F07C46"/>
    <w:rsid w:val="00F17A63"/>
    <w:rsid w:val="00F25ABC"/>
    <w:rsid w:val="00F3349C"/>
    <w:rsid w:val="00F41743"/>
    <w:rsid w:val="00F46489"/>
    <w:rsid w:val="00F522BF"/>
    <w:rsid w:val="00F53106"/>
    <w:rsid w:val="00F73CFD"/>
    <w:rsid w:val="00F75AE2"/>
    <w:rsid w:val="00F7797E"/>
    <w:rsid w:val="00F94148"/>
    <w:rsid w:val="00F961BF"/>
    <w:rsid w:val="00F96A50"/>
    <w:rsid w:val="00FB400B"/>
    <w:rsid w:val="00FF0784"/>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FA7BE0D"/>
  <w15:docId w15:val="{8BB4D307-4286-4FB7-8109-DA2873F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86F"/>
    <w:pPr>
      <w:spacing w:after="240"/>
    </w:pPr>
    <w:rPr>
      <w:rFonts w:asciiTheme="minorHAnsi" w:hAnsiTheme="minorHAnsi" w:cstheme="minorHAnsi"/>
      <w:sz w:val="24"/>
      <w:szCs w:val="24"/>
      <w:lang w:eastAsia="ja-JP"/>
    </w:rPr>
  </w:style>
  <w:style w:type="paragraph" w:styleId="Heading1">
    <w:name w:val="heading 1"/>
    <w:basedOn w:val="Normal"/>
    <w:next w:val="Normal"/>
    <w:link w:val="Heading1Char"/>
    <w:uiPriority w:val="9"/>
    <w:qFormat/>
    <w:rsid w:val="0019586F"/>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977E1E"/>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0526BC"/>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rsid w:val="00E3727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rsid w:val="004D3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4D31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9F"/>
    <w:pPr>
      <w:tabs>
        <w:tab w:val="center" w:pos="4320"/>
        <w:tab w:val="right" w:pos="8640"/>
      </w:tabs>
    </w:pPr>
  </w:style>
  <w:style w:type="character" w:customStyle="1" w:styleId="HeaderChar">
    <w:name w:val="Header Char"/>
    <w:basedOn w:val="DefaultParagraphFont"/>
    <w:link w:val="Header"/>
    <w:uiPriority w:val="99"/>
    <w:rsid w:val="0050519F"/>
  </w:style>
  <w:style w:type="paragraph" w:styleId="Footer">
    <w:name w:val="footer"/>
    <w:basedOn w:val="Normal"/>
    <w:link w:val="FooterChar"/>
    <w:uiPriority w:val="99"/>
    <w:unhideWhenUsed/>
    <w:rsid w:val="0050519F"/>
    <w:pPr>
      <w:tabs>
        <w:tab w:val="center" w:pos="4320"/>
        <w:tab w:val="right" w:pos="8640"/>
      </w:tabs>
    </w:pPr>
  </w:style>
  <w:style w:type="character" w:customStyle="1" w:styleId="FooterChar">
    <w:name w:val="Footer Char"/>
    <w:basedOn w:val="DefaultParagraphFont"/>
    <w:link w:val="Footer"/>
    <w:uiPriority w:val="99"/>
    <w:rsid w:val="0050519F"/>
  </w:style>
  <w:style w:type="paragraph" w:styleId="BalloonText">
    <w:name w:val="Balloon Text"/>
    <w:basedOn w:val="Normal"/>
    <w:link w:val="BalloonTextChar"/>
    <w:uiPriority w:val="99"/>
    <w:semiHidden/>
    <w:unhideWhenUsed/>
    <w:rsid w:val="0082581E"/>
    <w:rPr>
      <w:rFonts w:ascii="Lucida Grande" w:hAnsi="Lucida Grande"/>
      <w:sz w:val="18"/>
      <w:szCs w:val="18"/>
      <w:lang w:val="x-none" w:eastAsia="x-none"/>
    </w:rPr>
  </w:style>
  <w:style w:type="character" w:customStyle="1" w:styleId="BalloonTextChar">
    <w:name w:val="Balloon Text Char"/>
    <w:link w:val="BalloonText"/>
    <w:uiPriority w:val="99"/>
    <w:semiHidden/>
    <w:rsid w:val="0082581E"/>
    <w:rPr>
      <w:rFonts w:ascii="Lucida Grande" w:hAnsi="Lucida Grande" w:cs="Lucida Grande"/>
      <w:sz w:val="18"/>
      <w:szCs w:val="18"/>
    </w:rPr>
  </w:style>
  <w:style w:type="paragraph" w:customStyle="1" w:styleId="ColorfulList-Accent11">
    <w:name w:val="Colorful List - Accent 11"/>
    <w:basedOn w:val="Normal"/>
    <w:rsid w:val="00486FD7"/>
    <w:pPr>
      <w:widowControl w:val="0"/>
      <w:suppressAutoHyphens/>
      <w:ind w:left="720"/>
    </w:pPr>
    <w:rPr>
      <w:rFonts w:ascii="Times New Roman" w:eastAsia="Arial Unicode MS" w:hAnsi="Times New Roman" w:cs="Arial Unicode MS"/>
      <w:kern w:val="1"/>
      <w:lang w:val="en" w:eastAsia="hi-IN" w:bidi="hi-IN"/>
    </w:rPr>
  </w:style>
  <w:style w:type="table" w:styleId="TableGrid">
    <w:name w:val="Table Grid"/>
    <w:basedOn w:val="TableNormal"/>
    <w:uiPriority w:val="59"/>
    <w:rsid w:val="00295612"/>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586F"/>
    <w:pPr>
      <w:ind w:left="-142"/>
      <w:outlineLvl w:val="0"/>
    </w:pPr>
    <w:rPr>
      <w:rFonts w:eastAsia="Times New Roman" w:cs="Arial"/>
      <w:bCs/>
      <w:kern w:val="28"/>
      <w:sz w:val="36"/>
      <w:szCs w:val="32"/>
    </w:rPr>
  </w:style>
  <w:style w:type="character" w:customStyle="1" w:styleId="TitleChar">
    <w:name w:val="Title Char"/>
    <w:link w:val="Title"/>
    <w:uiPriority w:val="10"/>
    <w:rsid w:val="0019586F"/>
    <w:rPr>
      <w:rFonts w:ascii="Arial" w:eastAsia="Times New Roman" w:hAnsi="Arial" w:cs="Arial"/>
      <w:bCs/>
      <w:kern w:val="28"/>
      <w:sz w:val="36"/>
      <w:szCs w:val="32"/>
      <w:lang w:eastAsia="ja-JP"/>
    </w:rPr>
  </w:style>
  <w:style w:type="character" w:customStyle="1" w:styleId="Heading1Char">
    <w:name w:val="Heading 1 Char"/>
    <w:link w:val="Heading1"/>
    <w:uiPriority w:val="9"/>
    <w:rsid w:val="0019586F"/>
    <w:rPr>
      <w:rFonts w:asciiTheme="minorHAnsi" w:eastAsia="Times New Roman" w:hAnsiTheme="minorHAnsi" w:cstheme="minorHAnsi"/>
      <w:b/>
      <w:bCs/>
      <w:kern w:val="32"/>
      <w:sz w:val="24"/>
      <w:szCs w:val="32"/>
      <w:lang w:eastAsia="ja-JP"/>
    </w:rPr>
  </w:style>
  <w:style w:type="character" w:customStyle="1" w:styleId="Heading2Char">
    <w:name w:val="Heading 2 Char"/>
    <w:link w:val="Heading2"/>
    <w:uiPriority w:val="9"/>
    <w:rsid w:val="00977E1E"/>
    <w:rPr>
      <w:rFonts w:asciiTheme="minorHAnsi" w:eastAsia="Times New Roman" w:hAnsiTheme="minorHAnsi" w:cstheme="minorHAnsi"/>
      <w:b/>
      <w:bCs/>
      <w:iCs/>
      <w:sz w:val="24"/>
      <w:szCs w:val="28"/>
      <w:lang w:eastAsia="ja-JP"/>
    </w:rPr>
  </w:style>
  <w:style w:type="character" w:customStyle="1" w:styleId="Heading3Char">
    <w:name w:val="Heading 3 Char"/>
    <w:link w:val="Heading3"/>
    <w:uiPriority w:val="9"/>
    <w:rsid w:val="000526BC"/>
    <w:rPr>
      <w:rFonts w:asciiTheme="minorHAnsi" w:eastAsia="Times New Roman" w:hAnsiTheme="minorHAnsi" w:cstheme="minorHAnsi"/>
      <w:b/>
      <w:bCs/>
      <w:sz w:val="24"/>
      <w:szCs w:val="26"/>
      <w:lang w:eastAsia="ja-JP"/>
    </w:rPr>
  </w:style>
  <w:style w:type="character" w:customStyle="1" w:styleId="Heading4Char">
    <w:name w:val="Heading 4 Char"/>
    <w:link w:val="Heading4"/>
    <w:uiPriority w:val="9"/>
    <w:rsid w:val="00E3727E"/>
    <w:rPr>
      <w:rFonts w:ascii="Calibri" w:eastAsia="Times New Roman" w:hAnsi="Calibri" w:cs="Times New Roman"/>
      <w:b/>
      <w:bCs/>
      <w:sz w:val="28"/>
      <w:szCs w:val="28"/>
      <w:lang w:val="en-US" w:eastAsia="ja-JP"/>
    </w:rPr>
  </w:style>
  <w:style w:type="character" w:styleId="PlaceholderText">
    <w:name w:val="Placeholder Text"/>
    <w:basedOn w:val="DefaultParagraphFont"/>
    <w:uiPriority w:val="99"/>
    <w:unhideWhenUsed/>
    <w:rsid w:val="001E6F81"/>
    <w:rPr>
      <w:color w:val="808080"/>
    </w:rPr>
  </w:style>
  <w:style w:type="character" w:customStyle="1" w:styleId="Heading5Char">
    <w:name w:val="Heading 5 Char"/>
    <w:basedOn w:val="DefaultParagraphFont"/>
    <w:link w:val="Heading5"/>
    <w:uiPriority w:val="9"/>
    <w:rsid w:val="004D31E3"/>
    <w:rPr>
      <w:rFonts w:asciiTheme="majorHAnsi" w:eastAsiaTheme="majorEastAsia" w:hAnsiTheme="majorHAnsi" w:cstheme="majorBidi"/>
      <w:color w:val="243F60" w:themeColor="accent1" w:themeShade="7F"/>
      <w:sz w:val="22"/>
      <w:szCs w:val="24"/>
      <w:lang w:val="en-US" w:eastAsia="ja-JP"/>
    </w:rPr>
  </w:style>
  <w:style w:type="character" w:customStyle="1" w:styleId="Heading6Char">
    <w:name w:val="Heading 6 Char"/>
    <w:basedOn w:val="DefaultParagraphFont"/>
    <w:link w:val="Heading6"/>
    <w:uiPriority w:val="9"/>
    <w:rsid w:val="004D31E3"/>
    <w:rPr>
      <w:rFonts w:asciiTheme="majorHAnsi" w:eastAsiaTheme="majorEastAsia" w:hAnsiTheme="majorHAnsi" w:cstheme="majorBidi"/>
      <w:i/>
      <w:iCs/>
      <w:color w:val="243F60" w:themeColor="accent1" w:themeShade="7F"/>
      <w:sz w:val="22"/>
      <w:szCs w:val="24"/>
      <w:lang w:val="en-US" w:eastAsia="ja-JP"/>
    </w:rPr>
  </w:style>
  <w:style w:type="paragraph" w:styleId="Subtitle">
    <w:name w:val="Subtitle"/>
    <w:basedOn w:val="Normal"/>
    <w:next w:val="Normal"/>
    <w:link w:val="SubtitleChar"/>
    <w:uiPriority w:val="11"/>
    <w:rsid w:val="004D31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D31E3"/>
    <w:rPr>
      <w:rFonts w:asciiTheme="majorHAnsi" w:eastAsiaTheme="majorEastAsia" w:hAnsiTheme="majorHAnsi" w:cstheme="majorBidi"/>
      <w:i/>
      <w:iCs/>
      <w:color w:val="4F81BD" w:themeColor="accent1"/>
      <w:spacing w:val="15"/>
      <w:sz w:val="24"/>
      <w:szCs w:val="24"/>
      <w:lang w:val="en-US" w:eastAsia="ja-JP"/>
    </w:rPr>
  </w:style>
  <w:style w:type="character" w:styleId="Emphasis">
    <w:name w:val="Emphasis"/>
    <w:basedOn w:val="DefaultParagraphFont"/>
    <w:uiPriority w:val="20"/>
    <w:rsid w:val="004D31E3"/>
    <w:rPr>
      <w:i/>
      <w:iCs/>
    </w:rPr>
  </w:style>
  <w:style w:type="character" w:styleId="Strong">
    <w:name w:val="Strong"/>
    <w:basedOn w:val="DefaultParagraphFont"/>
    <w:uiPriority w:val="22"/>
    <w:rsid w:val="004D31E3"/>
    <w:rPr>
      <w:b/>
      <w:bCs/>
    </w:rPr>
  </w:style>
  <w:style w:type="paragraph" w:styleId="ListParagraph">
    <w:name w:val="List Paragraph"/>
    <w:basedOn w:val="Normal"/>
    <w:uiPriority w:val="34"/>
    <w:qFormat/>
    <w:rsid w:val="00D426C6"/>
    <w:pPr>
      <w:contextualSpacing/>
    </w:pPr>
  </w:style>
  <w:style w:type="paragraph" w:customStyle="1" w:styleId="Tablecaption">
    <w:name w:val="Table caption"/>
    <w:basedOn w:val="Normal"/>
    <w:link w:val="TablecaptionChar"/>
    <w:qFormat/>
    <w:rsid w:val="0019586F"/>
    <w:pPr>
      <w:spacing w:after="0"/>
    </w:pPr>
    <w:rPr>
      <w:rFonts w:cs="Arial"/>
      <w:sz w:val="20"/>
    </w:rPr>
  </w:style>
  <w:style w:type="character" w:customStyle="1" w:styleId="TablecaptionChar">
    <w:name w:val="Table caption Char"/>
    <w:basedOn w:val="DefaultParagraphFont"/>
    <w:link w:val="Tablecaption"/>
    <w:rsid w:val="0019586F"/>
    <w:rPr>
      <w:rFonts w:asciiTheme="minorHAnsi" w:hAnsiTheme="minorHAnsi" w:cs="Arial"/>
      <w:szCs w:val="24"/>
      <w:lang w:eastAsia="ja-JP"/>
    </w:rPr>
  </w:style>
  <w:style w:type="paragraph" w:customStyle="1" w:styleId="Authorblock">
    <w:name w:val="Author block"/>
    <w:basedOn w:val="Normal"/>
    <w:qFormat/>
    <w:rsid w:val="009530AE"/>
    <w:pPr>
      <w:widowControl w:val="0"/>
      <w:spacing w:after="0"/>
      <w:ind w:left="-142"/>
    </w:pPr>
    <w:rPr>
      <w:sz w:val="22"/>
    </w:rPr>
  </w:style>
  <w:style w:type="paragraph" w:customStyle="1" w:styleId="AuthorJob">
    <w:name w:val="Author Job"/>
    <w:basedOn w:val="Authorblock"/>
    <w:rsid w:val="009530AE"/>
    <w:rPr>
      <w:i/>
    </w:rPr>
  </w:style>
  <w:style w:type="character" w:styleId="Hyperlink">
    <w:name w:val="Hyperlink"/>
    <w:basedOn w:val="DefaultParagraphFont"/>
    <w:uiPriority w:val="99"/>
    <w:unhideWhenUsed/>
    <w:rsid w:val="002400BB"/>
    <w:rPr>
      <w:color w:val="0000FF" w:themeColor="hyperlink"/>
      <w:u w:val="single"/>
    </w:rPr>
  </w:style>
  <w:style w:type="paragraph" w:styleId="NormalWeb">
    <w:name w:val="Normal (Web)"/>
    <w:basedOn w:val="Normal"/>
    <w:uiPriority w:val="99"/>
    <w:semiHidden/>
    <w:unhideWhenUsed/>
    <w:rsid w:val="00B42454"/>
    <w:pPr>
      <w:spacing w:before="100" w:beforeAutospacing="1" w:after="100" w:afterAutospacing="1"/>
    </w:pPr>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D27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77A5"/>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25A1"/>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4F25A1"/>
    <w:pPr>
      <w:spacing w:after="100"/>
    </w:pPr>
  </w:style>
  <w:style w:type="paragraph" w:styleId="TOC2">
    <w:name w:val="toc 2"/>
    <w:basedOn w:val="Normal"/>
    <w:next w:val="Normal"/>
    <w:autoRedefine/>
    <w:uiPriority w:val="39"/>
    <w:unhideWhenUsed/>
    <w:rsid w:val="004F25A1"/>
    <w:pPr>
      <w:spacing w:after="100"/>
      <w:ind w:left="240"/>
    </w:pPr>
  </w:style>
  <w:style w:type="paragraph" w:styleId="Revision">
    <w:name w:val="Revision"/>
    <w:hidden/>
    <w:uiPriority w:val="71"/>
    <w:semiHidden/>
    <w:rsid w:val="00F46489"/>
    <w:rPr>
      <w:rFonts w:asciiTheme="minorHAnsi" w:hAnsiTheme="minorHAnsi" w:cstheme="minorHAnsi"/>
      <w:sz w:val="24"/>
      <w:szCs w:val="24"/>
      <w:lang w:eastAsia="ja-JP"/>
    </w:rPr>
  </w:style>
  <w:style w:type="character" w:styleId="CommentReference">
    <w:name w:val="annotation reference"/>
    <w:basedOn w:val="DefaultParagraphFont"/>
    <w:uiPriority w:val="99"/>
    <w:semiHidden/>
    <w:unhideWhenUsed/>
    <w:rsid w:val="00F46489"/>
    <w:rPr>
      <w:sz w:val="16"/>
      <w:szCs w:val="16"/>
    </w:rPr>
  </w:style>
  <w:style w:type="paragraph" w:styleId="CommentText">
    <w:name w:val="annotation text"/>
    <w:basedOn w:val="Normal"/>
    <w:link w:val="CommentTextChar"/>
    <w:uiPriority w:val="99"/>
    <w:unhideWhenUsed/>
    <w:rsid w:val="00F46489"/>
    <w:rPr>
      <w:sz w:val="20"/>
      <w:szCs w:val="20"/>
    </w:rPr>
  </w:style>
  <w:style w:type="character" w:customStyle="1" w:styleId="CommentTextChar">
    <w:name w:val="Comment Text Char"/>
    <w:basedOn w:val="DefaultParagraphFont"/>
    <w:link w:val="CommentText"/>
    <w:uiPriority w:val="99"/>
    <w:rsid w:val="00F46489"/>
    <w:rPr>
      <w:rFonts w:asciiTheme="minorHAnsi" w:hAnsiTheme="minorHAnsi" w:cstheme="minorHAnsi"/>
      <w:lang w:eastAsia="ja-JP"/>
    </w:rPr>
  </w:style>
  <w:style w:type="paragraph" w:styleId="CommentSubject">
    <w:name w:val="annotation subject"/>
    <w:basedOn w:val="CommentText"/>
    <w:next w:val="CommentText"/>
    <w:link w:val="CommentSubjectChar"/>
    <w:uiPriority w:val="99"/>
    <w:semiHidden/>
    <w:unhideWhenUsed/>
    <w:rsid w:val="00F46489"/>
    <w:rPr>
      <w:b/>
      <w:bCs/>
    </w:rPr>
  </w:style>
  <w:style w:type="character" w:customStyle="1" w:styleId="CommentSubjectChar">
    <w:name w:val="Comment Subject Char"/>
    <w:basedOn w:val="CommentTextChar"/>
    <w:link w:val="CommentSubject"/>
    <w:uiPriority w:val="99"/>
    <w:semiHidden/>
    <w:rsid w:val="00F46489"/>
    <w:rPr>
      <w:rFonts w:asciiTheme="minorHAnsi" w:hAnsiTheme="minorHAnsi" w:cstheme="minorHAnsi"/>
      <w:b/>
      <w:bCs/>
      <w:lang w:eastAsia="ja-JP"/>
    </w:rPr>
  </w:style>
  <w:style w:type="character" w:styleId="FollowedHyperlink">
    <w:name w:val="FollowedHyperlink"/>
    <w:basedOn w:val="DefaultParagraphFont"/>
    <w:uiPriority w:val="99"/>
    <w:semiHidden/>
    <w:unhideWhenUsed/>
    <w:rsid w:val="00F46489"/>
    <w:rPr>
      <w:color w:val="800080" w:themeColor="followedHyperlink"/>
      <w:u w:val="single"/>
    </w:rPr>
  </w:style>
  <w:style w:type="character" w:customStyle="1" w:styleId="UnresolvedMention1">
    <w:name w:val="Unresolved Mention1"/>
    <w:basedOn w:val="DefaultParagraphFont"/>
    <w:uiPriority w:val="99"/>
    <w:semiHidden/>
    <w:unhideWhenUsed/>
    <w:rsid w:val="00F961BF"/>
    <w:rPr>
      <w:color w:val="605E5C"/>
      <w:shd w:val="clear" w:color="auto" w:fill="E1DFDD"/>
    </w:rPr>
  </w:style>
  <w:style w:type="character" w:customStyle="1" w:styleId="ui-provider">
    <w:name w:val="ui-provider"/>
    <w:basedOn w:val="DefaultParagraphFont"/>
    <w:rsid w:val="006B719E"/>
  </w:style>
  <w:style w:type="character" w:styleId="UnresolvedMention">
    <w:name w:val="Unresolved Mention"/>
    <w:basedOn w:val="DefaultParagraphFont"/>
    <w:uiPriority w:val="99"/>
    <w:semiHidden/>
    <w:unhideWhenUsed/>
    <w:rsid w:val="00CF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research@endocrinology.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for-organisations/guide-to-data-protection/guide-to-the-general-data-protection-regulation-gdpr/international-transfers-after-uk-exi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ndocrinology.org/clinical-practice/data-registries" TargetMode="External"/><Relationship Id="rId25" Type="http://schemas.openxmlformats.org/officeDocument/2006/relationships/hyperlink" Target="mailto:research@endocrinology.org" TargetMode="External"/><Relationship Id="rId2" Type="http://schemas.openxmlformats.org/officeDocument/2006/relationships/numbering" Target="numbering.xml"/><Relationship Id="rId16" Type="http://schemas.openxmlformats.org/officeDocument/2006/relationships/hyperlink" Target="https://www.endocrinology.org/clinical-practice/data-registries" TargetMode="External"/><Relationship Id="rId20" Type="http://schemas.openxmlformats.org/officeDocument/2006/relationships/hyperlink" Target="mailto:research@endocrinolog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search@endocrinology.org" TargetMode="External"/><Relationship Id="rId5" Type="http://schemas.openxmlformats.org/officeDocument/2006/relationships/webSettings" Target="webSettings.xml"/><Relationship Id="rId15" Type="http://schemas.openxmlformats.org/officeDocument/2006/relationships/hyperlink" Target="https://www.endocrinology.org/about-us/governance/clinical-committee/" TargetMode="External"/><Relationship Id="rId23" Type="http://schemas.openxmlformats.org/officeDocument/2006/relationships/hyperlink" Target="https://www.endocrinology.org/clinical-practice/data-registries" TargetMode="External"/><Relationship Id="rId10" Type="http://schemas.openxmlformats.org/officeDocument/2006/relationships/footer" Target="footer1.xml"/><Relationship Id="rId19" Type="http://schemas.openxmlformats.org/officeDocument/2006/relationships/hyperlink" Target="https://www.endocrinology.org/clinical-practice/data-registries" TargetMode="External"/><Relationship Id="rId4" Type="http://schemas.openxmlformats.org/officeDocument/2006/relationships/settings" Target="settings.xml"/><Relationship Id="rId9" Type="http://schemas.openxmlformats.org/officeDocument/2006/relationships/hyperlink" Target="file:///H:\SfE%20Group%20Central%20Services\Executive%20Team\Sally.David\Registries\Round%201\SFE%20Data%20Access%20Policy.v4%20SS%204.docx" TargetMode="External"/><Relationship Id="rId14" Type="http://schemas.openxmlformats.org/officeDocument/2006/relationships/hyperlink" Target="https://www.endocrinology.org/clinical-practice/data-registries/" TargetMode="External"/><Relationship Id="rId22" Type="http://schemas.openxmlformats.org/officeDocument/2006/relationships/hyperlink" Target="https://ico.org.uk/media/for-organisations/documents/4019536/idta.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russell\Documents\SFE%20Committe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921F-B2F7-4212-BD28-E7A67208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SFE Committee paper</Template>
  <TotalTime>0</TotalTime>
  <Pages>25</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XX-2023-ZZ</vt:lpstr>
    </vt:vector>
  </TitlesOfParts>
  <Company>Society for Endocrinology</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XX-2023-ZZ</dc:title>
  <dc:subject/>
  <dc:creator>Ian Russel</dc:creator>
  <cp:keywords/>
  <dc:description/>
  <cp:lastModifiedBy>Roisin Evans</cp:lastModifiedBy>
  <cp:revision>2</cp:revision>
  <cp:lastPrinted>2016-09-23T09:46:00Z</cp:lastPrinted>
  <dcterms:created xsi:type="dcterms:W3CDTF">2024-09-09T19:49:00Z</dcterms:created>
  <dcterms:modified xsi:type="dcterms:W3CDTF">2024-09-09T19:49:00Z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XX/2015/ZZ</vt:lpwstr>
  </property>
</Properties>
</file>